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ind w:firstLine="851"/>
        <w:jc w:val="both"/>
        <w:rPr>
          <w:rFonts w:cstheme="minorHAnsi"/>
          <w:noProof/>
          <w:lang w:val="en-US" w:eastAsia="id-ID"/>
        </w:rPr>
      </w:pPr>
      <w:r>
        <w:rPr>
          <w:rFonts w:cstheme="minorHAnsi"/>
          <w:noProof/>
          <w:lang w:val="en-ID" w:eastAsia="en-ID"/>
        </w:rPr>
        <w:drawing>
          <wp:anchor distT="0" distB="0" distL="114300" distR="114300" simplePos="0" relativeHeight="251820544" behindDoc="0" locked="0" layoutInCell="1" allowOverlap="1">
            <wp:simplePos x="0" y="0"/>
            <wp:positionH relativeFrom="column">
              <wp:posOffset>3554095</wp:posOffset>
            </wp:positionH>
            <wp:positionV relativeFrom="paragraph">
              <wp:posOffset>-697865</wp:posOffset>
            </wp:positionV>
            <wp:extent cx="601980" cy="512794"/>
            <wp:effectExtent l="0" t="0" r="7620" b="1905"/>
            <wp:wrapNone/>
            <wp:docPr id="115" name="Picture 1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980" cy="51279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val="en-ID" w:eastAsia="en-ID"/>
        </w:rPr>
        <w:drawing>
          <wp:anchor distT="0" distB="0" distL="114300" distR="114300" simplePos="0" relativeHeight="251817472" behindDoc="1" locked="0" layoutInCell="1" allowOverlap="1">
            <wp:simplePos x="0" y="0"/>
            <wp:positionH relativeFrom="column">
              <wp:posOffset>-941705</wp:posOffset>
            </wp:positionH>
            <wp:positionV relativeFrom="paragraph">
              <wp:posOffset>-1261745</wp:posOffset>
            </wp:positionV>
            <wp:extent cx="5462905" cy="7913370"/>
            <wp:effectExtent l="0" t="0" r="4445" b="0"/>
            <wp:wrapNone/>
            <wp:docPr id="90" name="Picture 9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text, businesscard&#10;&#10;Description automatically generated"/>
                    <pic:cNvPicPr/>
                  </pic:nvPicPr>
                  <pic:blipFill rotWithShape="1">
                    <a:blip r:embed="rId10" cstate="print">
                      <a:extLst>
                        <a:ext uri="{28A0092B-C50C-407E-A947-70E740481C1C}">
                          <a14:useLocalDpi xmlns:a14="http://schemas.microsoft.com/office/drawing/2010/main" val="0"/>
                        </a:ext>
                      </a:extLst>
                    </a:blip>
                    <a:srcRect l="1293"/>
                    <a:stretch/>
                  </pic:blipFill>
                  <pic:spPr bwMode="auto">
                    <a:xfrm>
                      <a:off x="0" y="0"/>
                      <a:ext cx="5463447" cy="791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ID" w:eastAsia="en-ID"/>
        </w:rPr>
        <w:drawing>
          <wp:anchor distT="0" distB="0" distL="114300" distR="114300" simplePos="0" relativeHeight="251802112" behindDoc="0" locked="0" layoutInCell="1" allowOverlap="1">
            <wp:simplePos x="0" y="0"/>
            <wp:positionH relativeFrom="column">
              <wp:posOffset>-591185</wp:posOffset>
            </wp:positionH>
            <wp:positionV relativeFrom="paragraph">
              <wp:posOffset>-751205</wp:posOffset>
            </wp:positionV>
            <wp:extent cx="571500" cy="637372"/>
            <wp:effectExtent l="0" t="0" r="0" b="0"/>
            <wp:wrapNone/>
            <wp:docPr id="225" name="Picture 225" descr="C:\Users\user\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38" cy="639422"/>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ind w:firstLine="851"/>
        <w:jc w:val="both"/>
        <w:rPr>
          <w:rFonts w:cstheme="minorHAnsi"/>
          <w:noProof/>
          <w:lang w:eastAsia="id-ID"/>
        </w:rPr>
      </w:pPr>
    </w:p>
    <w:p>
      <w:pPr>
        <w:spacing w:after="0"/>
        <w:ind w:firstLine="851"/>
        <w:jc w:val="both"/>
        <w:rPr>
          <w:rFonts w:cstheme="minorHAnsi"/>
          <w:noProof/>
          <w:lang w:eastAsia="id-ID"/>
        </w:rPr>
      </w:pPr>
    </w:p>
    <w:p>
      <w:pPr>
        <w:spacing w:after="0"/>
        <w:ind w:firstLine="851"/>
        <w:jc w:val="both"/>
        <w:rPr>
          <w:rFonts w:cstheme="minorHAnsi"/>
        </w:rPr>
      </w:pPr>
    </w:p>
    <w:p>
      <w:pPr>
        <w:spacing w:after="0"/>
        <w:ind w:firstLine="851"/>
        <w:jc w:val="both"/>
        <w:rPr>
          <w:rFonts w:cstheme="minorHAnsi"/>
        </w:rPr>
      </w:pPr>
    </w:p>
    <w:p>
      <w:pPr>
        <w:jc w:val="both"/>
        <w:rPr>
          <w:rFonts w:cstheme="minorHAnsi"/>
          <w:noProof/>
        </w:rPr>
      </w:pPr>
    </w:p>
    <w:p>
      <w:pPr>
        <w:jc w:val="both"/>
        <w:rPr>
          <w:rFonts w:cstheme="minorHAnsi"/>
        </w:rPr>
      </w:pPr>
    </w:p>
    <w:p>
      <w:pPr>
        <w:jc w:val="both"/>
        <w:rPr>
          <w:rFonts w:cstheme="minorHAnsi"/>
        </w:rPr>
      </w:pPr>
    </w:p>
    <w:p>
      <w:pPr>
        <w:jc w:val="both"/>
        <w:rPr>
          <w:rFonts w:cstheme="minorHAnsi"/>
        </w:rPr>
      </w:pPr>
    </w:p>
    <w:p>
      <w:pPr>
        <w:jc w:val="both"/>
        <w:rPr>
          <w:rFonts w:cstheme="minorHAnsi"/>
          <w:lang w:val="en-US"/>
        </w:rPr>
      </w:pPr>
      <w:r>
        <w:rPr>
          <w:noProof/>
          <w:lang w:val="en-ID" w:eastAsia="en-ID"/>
        </w:rPr>
        <mc:AlternateContent>
          <mc:Choice Requires="wps">
            <w:drawing>
              <wp:anchor distT="0" distB="0" distL="114300" distR="114300" simplePos="0" relativeHeight="251804160" behindDoc="0" locked="0" layoutInCell="1" allowOverlap="1">
                <wp:simplePos x="0" y="0"/>
                <wp:positionH relativeFrom="column">
                  <wp:posOffset>-911225</wp:posOffset>
                </wp:positionH>
                <wp:positionV relativeFrom="paragraph">
                  <wp:posOffset>3582035</wp:posOffset>
                </wp:positionV>
                <wp:extent cx="5339715" cy="795020"/>
                <wp:effectExtent l="0" t="0" r="0" b="5080"/>
                <wp:wrapNone/>
                <wp:docPr id="234" name="Rectangle 234"/>
                <wp:cNvGraphicFramePr/>
                <a:graphic xmlns:a="http://schemas.openxmlformats.org/drawingml/2006/main">
                  <a:graphicData uri="http://schemas.microsoft.com/office/word/2010/wordprocessingShape">
                    <wps:wsp>
                      <wps:cNvSpPr/>
                      <wps:spPr>
                        <a:xfrm>
                          <a:off x="0" y="0"/>
                          <a:ext cx="5339715" cy="795020"/>
                        </a:xfrm>
                        <a:prstGeom prst="rect">
                          <a:avLst/>
                        </a:prstGeom>
                        <a:solidFill>
                          <a:srgbClr val="40AE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jc w:val="center"/>
                              <w:rPr>
                                <w:rFonts w:ascii="Trebuchet MS" w:hAnsi="Trebuchet MS" w:cstheme="minorHAnsi"/>
                                <w:b/>
                                <w:color w:val="FFFFFF" w:themeColor="background1"/>
                                <w:spacing w:val="-1"/>
                                <w:sz w:val="20"/>
                              </w:rPr>
                            </w:pPr>
                            <w:r>
                              <w:rPr>
                                <w:rFonts w:ascii="Trebuchet MS" w:hAnsi="Trebuchet MS" w:cstheme="minorHAnsi"/>
                                <w:b/>
                                <w:color w:val="FFFFFF" w:themeColor="background1"/>
                                <w:spacing w:val="-1"/>
                                <w:sz w:val="20"/>
                              </w:rPr>
                              <w:t>DINAS PEMBERDAYAAN PEREMPUAN, PERLINDUNGAN ANAK, PENGENDALIAN PENDUDUK, DAN KELUARGA BERENCANA PROVINSI KALIMANTAN TENGAH</w:t>
                            </w:r>
                          </w:p>
                          <w:p>
                            <w:pPr>
                              <w:spacing w:after="0"/>
                              <w:jc w:val="center"/>
                              <w:rPr>
                                <w:rFonts w:ascii="Book Antiqua" w:hAnsi="Book Antiqua" w:cstheme="minorHAnsi"/>
                                <w:b/>
                                <w:color w:val="FFFFFF" w:themeColor="background1"/>
                                <w:sz w:val="20"/>
                                <w:szCs w:val="20"/>
                              </w:rPr>
                            </w:pPr>
                            <w:r>
                              <w:rPr>
                                <w:rFonts w:ascii="Book Antiqua" w:hAnsi="Book Antiqua" w:cstheme="minorHAnsi"/>
                                <w:b/>
                                <w:color w:val="FFFFFF" w:themeColor="background1"/>
                                <w:sz w:val="20"/>
                                <w:szCs w:val="20"/>
                              </w:rPr>
                              <w:t>Jl.</w:t>
                            </w:r>
                            <w:r>
                              <w:rPr>
                                <w:rFonts w:ascii="Book Antiqua" w:hAnsi="Book Antiqua" w:cstheme="minorHAnsi"/>
                                <w:b/>
                                <w:color w:val="FFFFFF" w:themeColor="background1"/>
                                <w:sz w:val="20"/>
                                <w:szCs w:val="20"/>
                                <w:lang w:val="en-ID"/>
                              </w:rPr>
                              <w:t xml:space="preserve"> Brigjen Katamso</w:t>
                            </w:r>
                            <w:r>
                              <w:rPr>
                                <w:rFonts w:ascii="Book Antiqua" w:hAnsi="Book Antiqua" w:cstheme="minorHAnsi"/>
                                <w:b/>
                                <w:color w:val="FFFFFF" w:themeColor="background1"/>
                                <w:sz w:val="20"/>
                                <w:szCs w:val="20"/>
                              </w:rPr>
                              <w:t xml:space="preserve"> No. 11 Telp (0536) 3224547, Palangka Raya</w:t>
                            </w:r>
                          </w:p>
                          <w:p>
                            <w:pPr>
                              <w:spacing w:after="0"/>
                              <w:jc w:val="center"/>
                              <w:rPr>
                                <w:rFonts w:ascii="Book Antiqua" w:hAnsi="Book Antiqua" w:cstheme="minorHAnsi"/>
                                <w:b/>
                                <w:color w:val="FFFFFF" w:themeColor="background1"/>
                                <w:sz w:val="20"/>
                                <w:szCs w:val="20"/>
                              </w:rPr>
                            </w:pPr>
                            <w:r>
                              <w:rPr>
                                <w:rFonts w:ascii="Book Antiqua" w:hAnsi="Book Antiqua" w:cstheme="minorHAnsi"/>
                                <w:b/>
                                <w:color w:val="FFFFFF" w:themeColor="background1"/>
                                <w:sz w:val="20"/>
                                <w:szCs w:val="20"/>
                              </w:rPr>
                              <w:t>dp3appkb.kalteng.go.id</w:t>
                            </w:r>
                          </w:p>
                          <w:p>
                            <w:pPr>
                              <w:spacing w:after="0"/>
                              <w:jc w:val="center"/>
                              <w:rPr>
                                <w:rFonts w:ascii="Book Antiqua" w:hAnsi="Book Antiqua" w:cstheme="minorHAnsi"/>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left:0;text-align:left;margin-left:-71.75pt;margin-top:282.05pt;width:420.45pt;height:62.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" fillcolor="#40aea9" stroked="f" strokeweight="2pt">
                <v:textbox>
                  <w:txbxContent>
                    <w:p>
                      <w:pPr>
                        <w:spacing w:after="0"/>
                        <w:jc w:val="center"/>
                        <w:rPr>
                          <w:rFonts w:ascii="Trebuchet MS" w:hAnsi="Trebuchet MS" w:cstheme="minorHAnsi"/>
                          <w:b/>
                          <w:color w:val="FFFFFF" w:themeColor="background1"/>
                          <w:spacing w:val="-1"/>
                          <w:sz w:val="20"/>
                        </w:rPr>
                      </w:pPr>
                      <w:r>
                        <w:rPr>
                          <w:rFonts w:ascii="Trebuchet MS" w:hAnsi="Trebuchet MS" w:cstheme="minorHAnsi"/>
                          <w:b/>
                          <w:color w:val="FFFFFF" w:themeColor="background1"/>
                          <w:spacing w:val="-1"/>
                          <w:sz w:val="20"/>
                        </w:rPr>
                        <w:t>DINAS PEMBERDAYAAN PEREMPUAN, PERLINDUNGAN ANAK, PENGENDALIAN PENDUDUK, DAN KELUARGA BERENCANA PROVINSI KALIMANTAN TENGAH</w:t>
                      </w:r>
                    </w:p>
                    <w:p>
                      <w:pPr>
                        <w:spacing w:after="0"/>
                        <w:jc w:val="center"/>
                        <w:rPr>
                          <w:rFonts w:ascii="Book Antiqua" w:hAnsi="Book Antiqua" w:cstheme="minorHAnsi"/>
                          <w:b/>
                          <w:color w:val="FFFFFF" w:themeColor="background1"/>
                          <w:sz w:val="20"/>
                          <w:szCs w:val="20"/>
                        </w:rPr>
                      </w:pPr>
                      <w:r>
                        <w:rPr>
                          <w:rFonts w:ascii="Book Antiqua" w:hAnsi="Book Antiqua" w:cstheme="minorHAnsi"/>
                          <w:b/>
                          <w:color w:val="FFFFFF" w:themeColor="background1"/>
                          <w:sz w:val="20"/>
                          <w:szCs w:val="20"/>
                        </w:rPr>
                        <w:t>Jl.</w:t>
                      </w:r>
                      <w:r>
                        <w:rPr>
                          <w:rFonts w:ascii="Book Antiqua" w:hAnsi="Book Antiqua" w:cstheme="minorHAnsi"/>
                          <w:b/>
                          <w:color w:val="FFFFFF" w:themeColor="background1"/>
                          <w:sz w:val="20"/>
                          <w:szCs w:val="20"/>
                          <w:lang w:val="en-ID"/>
                        </w:rPr>
                        <w:t xml:space="preserve"> Brigjen Katamso</w:t>
                      </w:r>
                      <w:r>
                        <w:rPr>
                          <w:rFonts w:ascii="Book Antiqua" w:hAnsi="Book Antiqua" w:cstheme="minorHAnsi"/>
                          <w:b/>
                          <w:color w:val="FFFFFF" w:themeColor="background1"/>
                          <w:sz w:val="20"/>
                          <w:szCs w:val="20"/>
                        </w:rPr>
                        <w:t xml:space="preserve"> No. 11 Telp (0536) 3224547, Palangka Raya</w:t>
                      </w:r>
                    </w:p>
                    <w:p>
                      <w:pPr>
                        <w:spacing w:after="0"/>
                        <w:jc w:val="center"/>
                        <w:rPr>
                          <w:rFonts w:ascii="Book Antiqua" w:hAnsi="Book Antiqua" w:cstheme="minorHAnsi"/>
                          <w:b/>
                          <w:color w:val="FFFFFF" w:themeColor="background1"/>
                          <w:sz w:val="20"/>
                          <w:szCs w:val="20"/>
                        </w:rPr>
                      </w:pPr>
                      <w:r>
                        <w:rPr>
                          <w:rFonts w:ascii="Book Antiqua" w:hAnsi="Book Antiqua" w:cstheme="minorHAnsi"/>
                          <w:b/>
                          <w:color w:val="FFFFFF" w:themeColor="background1"/>
                          <w:sz w:val="20"/>
                          <w:szCs w:val="20"/>
                        </w:rPr>
                        <w:t>dp3appkb.kalteng.go.id</w:t>
                      </w:r>
                    </w:p>
                    <w:p>
                      <w:pPr>
                        <w:spacing w:after="0"/>
                        <w:jc w:val="center"/>
                        <w:rPr>
                          <w:rFonts w:ascii="Book Antiqua" w:hAnsi="Book Antiqua" w:cstheme="minorHAnsi"/>
                          <w:b/>
                          <w:color w:val="FFFFFF" w:themeColor="background1"/>
                          <w:sz w:val="20"/>
                          <w:szCs w:val="20"/>
                        </w:rPr>
                      </w:pPr>
                    </w:p>
                  </w:txbxContent>
                </v:textbox>
              </v:rect>
            </w:pict>
          </mc:Fallback>
        </mc:AlternateContent>
      </w:r>
      <w:r>
        <w:rPr>
          <w:rFonts w:cstheme="minorHAnsi"/>
        </w:rPr>
        <w:br w:type="page"/>
      </w:r>
      <w:r>
        <w:rPr>
          <w:rFonts w:cstheme="minorHAnsi"/>
          <w:lang w:val="en-US"/>
        </w:rPr>
        <w:lastRenderedPageBreak/>
        <w:t>CO</w:t>
      </w:r>
    </w:p>
    <w:p>
      <w:pPr>
        <w:spacing w:after="0"/>
        <w:jc w:val="both"/>
        <w:rPr>
          <w:rFonts w:cstheme="minorHAnsi"/>
        </w:rPr>
        <w:sectPr>
          <w:headerReference w:type="even" r:id="rId12"/>
          <w:headerReference w:type="default" r:id="rId13"/>
          <w:footerReference w:type="even" r:id="rId14"/>
          <w:footerReference w:type="default" r:id="rId15"/>
          <w:footerReference w:type="first" r:id="rId16"/>
          <w:pgSz w:w="8391" w:h="11906" w:code="11"/>
          <w:pgMar w:top="1411" w:right="1411" w:bottom="1411" w:left="1411" w:header="706" w:footer="173" w:gutter="0"/>
          <w:pgNumType w:fmt="lowerRoman" w:start="1"/>
          <w:cols w:space="708"/>
          <w:docGrid w:linePitch="360"/>
        </w:sectPr>
      </w:pPr>
      <w:r>
        <w:rPr>
          <w:noProof/>
          <w:lang w:val="en-ID" w:eastAsia="en-ID"/>
        </w:rPr>
        <mc:AlternateContent>
          <mc:Choice Requires="wps">
            <w:drawing>
              <wp:anchor distT="0" distB="0" distL="114300" distR="114300" simplePos="0" relativeHeight="251816448" behindDoc="0" locked="0" layoutInCell="1" allowOverlap="1">
                <wp:simplePos x="0" y="0"/>
                <wp:positionH relativeFrom="column">
                  <wp:posOffset>-1059180</wp:posOffset>
                </wp:positionH>
                <wp:positionV relativeFrom="paragraph">
                  <wp:posOffset>5584825</wp:posOffset>
                </wp:positionV>
                <wp:extent cx="7539355" cy="741045"/>
                <wp:effectExtent l="0" t="0" r="23495" b="2095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9355" cy="741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3E8C1A" id="Rectangle 72" o:spid="_x0000_s1026" style="position:absolute;margin-left:-83.4pt;margin-top:439.75pt;width:593.65pt;height:58.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71040" behindDoc="0" locked="0" layoutInCell="1" allowOverlap="1">
                <wp:simplePos x="0" y="0"/>
                <wp:positionH relativeFrom="column">
                  <wp:posOffset>-975360</wp:posOffset>
                </wp:positionH>
                <wp:positionV relativeFrom="paragraph">
                  <wp:posOffset>7064375</wp:posOffset>
                </wp:positionV>
                <wp:extent cx="6835140" cy="1393190"/>
                <wp:effectExtent l="0" t="0" r="381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5140" cy="13931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4F7BC3" id="Rectangle 67" o:spid="_x0000_s1026" style="position:absolute;margin-left:-76.8pt;margin-top:556.25pt;width:538.2pt;height:10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70016" behindDoc="0" locked="0" layoutInCell="1" allowOverlap="1">
                <wp:simplePos x="0" y="0"/>
                <wp:positionH relativeFrom="column">
                  <wp:posOffset>-1056005</wp:posOffset>
                </wp:positionH>
                <wp:positionV relativeFrom="paragraph">
                  <wp:posOffset>-1087755</wp:posOffset>
                </wp:positionV>
                <wp:extent cx="6835140" cy="1393190"/>
                <wp:effectExtent l="0" t="0" r="381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5140" cy="13931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D9672" id="Rectangle 66" o:spid="_x0000_s1026" style="position:absolute;margin-left:-83.15pt;margin-top:-85.65pt;width:538.2pt;height:109.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" fillcolor="white [3212]" strokecolor="white [3212]" strokeweight="2pt">
                <v:path arrowok="t"/>
              </v:rect>
            </w:pict>
          </mc:Fallback>
        </mc:AlternateContent>
      </w:r>
    </w:p>
    <w:p>
      <w:pPr>
        <w:jc w:val="both"/>
        <w:rPr>
          <w:rFonts w:cstheme="minorHAnsi"/>
          <w:b/>
          <w:bCs/>
          <w:caps/>
          <w:color w:val="231F20"/>
          <w:sz w:val="24"/>
          <w:szCs w:val="23"/>
        </w:rPr>
      </w:pPr>
      <w:r>
        <w:rPr>
          <w:rFonts w:cstheme="minorHAnsi"/>
          <w:noProof/>
          <w:lang w:val="en-ID" w:eastAsia="en-ID"/>
        </w:rPr>
        <w:lastRenderedPageBreak/>
        <w:drawing>
          <wp:anchor distT="0" distB="0" distL="114300" distR="114300" simplePos="0" relativeHeight="251819520" behindDoc="0" locked="0" layoutInCell="1" allowOverlap="1">
            <wp:simplePos x="0" y="0"/>
            <wp:positionH relativeFrom="column">
              <wp:posOffset>-995045</wp:posOffset>
            </wp:positionH>
            <wp:positionV relativeFrom="paragraph">
              <wp:posOffset>-1177925</wp:posOffset>
            </wp:positionV>
            <wp:extent cx="5462905" cy="7913370"/>
            <wp:effectExtent l="0" t="0" r="4445" b="0"/>
            <wp:wrapNone/>
            <wp:docPr id="97" name="Picture 9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text, businesscard&#10;&#10;Description automatically generated"/>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1293"/>
                    <a:stretch/>
                  </pic:blipFill>
                  <pic:spPr bwMode="auto">
                    <a:xfrm>
                      <a:off x="0" y="0"/>
                      <a:ext cx="5462905" cy="791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caps/>
          <w:color w:val="231F20"/>
          <w:sz w:val="24"/>
          <w:szCs w:val="23"/>
        </w:rPr>
        <w:br w:type="page"/>
      </w:r>
    </w:p>
    <w:p>
      <w:pPr>
        <w:jc w:val="both"/>
        <w:rPr>
          <w:rFonts w:cstheme="minorHAnsi"/>
          <w:b/>
          <w:bCs/>
          <w:caps/>
          <w:color w:val="231F20"/>
          <w:sz w:val="24"/>
          <w:szCs w:val="23"/>
        </w:rPr>
        <w:sectPr>
          <w:pgSz w:w="8391" w:h="11906" w:code="11"/>
          <w:pgMar w:top="1411" w:right="1411" w:bottom="1411" w:left="1411" w:header="706" w:footer="173" w:gutter="0"/>
          <w:pgNumType w:fmt="lowerRoman"/>
          <w:cols w:space="708"/>
          <w:docGrid w:linePitch="360"/>
        </w:sectPr>
      </w:pPr>
    </w:p>
    <w:p>
      <w:pPr>
        <w:jc w:val="both"/>
        <w:rPr>
          <w:rFonts w:cstheme="minorHAnsi"/>
          <w:b/>
          <w:bCs/>
          <w:caps/>
          <w:color w:val="231F20"/>
          <w:sz w:val="24"/>
          <w:szCs w:val="23"/>
        </w:rPr>
      </w:pPr>
      <w:r>
        <w:rPr>
          <w:noProof/>
          <w:lang w:val="en-ID" w:eastAsia="en-ID"/>
        </w:rPr>
        <w:lastRenderedPageBreak/>
        <mc:AlternateContent>
          <mc:Choice Requires="wps">
            <w:drawing>
              <wp:anchor distT="0" distB="0" distL="114300" distR="114300" simplePos="0" relativeHeight="251678208" behindDoc="0" locked="0" layoutInCell="1" allowOverlap="1">
                <wp:simplePos x="0" y="0"/>
                <wp:positionH relativeFrom="column">
                  <wp:posOffset>-987425</wp:posOffset>
                </wp:positionH>
                <wp:positionV relativeFrom="paragraph">
                  <wp:posOffset>7156450</wp:posOffset>
                </wp:positionV>
                <wp:extent cx="6835140" cy="1393190"/>
                <wp:effectExtent l="0" t="0" r="381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5140" cy="13931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707CC" id="Rectangle 65" o:spid="_x0000_s1026" style="position:absolute;margin-left:-77.75pt;margin-top:563.5pt;width:538.2pt;height:109.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77184" behindDoc="0" locked="0" layoutInCell="1" allowOverlap="1">
                <wp:simplePos x="0" y="0"/>
                <wp:positionH relativeFrom="column">
                  <wp:posOffset>-1073150</wp:posOffset>
                </wp:positionH>
                <wp:positionV relativeFrom="paragraph">
                  <wp:posOffset>-1060450</wp:posOffset>
                </wp:positionV>
                <wp:extent cx="6835140" cy="1393190"/>
                <wp:effectExtent l="0" t="0" r="381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5140" cy="13931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A9EAC" id="Rectangle 64" o:spid="_x0000_s1026" style="position:absolute;margin-left:-84.5pt;margin-top:-83.5pt;width:538.2pt;height:10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" fillcolor="white [3212]" strokecolor="white [3212]" strokeweight="2pt">
                <v:path arrowok="t"/>
              </v:rect>
            </w:pict>
          </mc:Fallback>
        </mc:AlternateContent>
      </w:r>
    </w:p>
    <w:p>
      <w:pPr>
        <w:jc w:val="both"/>
        <w:rPr>
          <w:rFonts w:cstheme="minorHAnsi"/>
          <w:sz w:val="24"/>
          <w:szCs w:val="23"/>
        </w:rPr>
      </w:pPr>
    </w:p>
    <w:p>
      <w:pPr>
        <w:jc w:val="both"/>
        <w:rPr>
          <w:rFonts w:cstheme="minorHAnsi"/>
          <w:sz w:val="24"/>
          <w:szCs w:val="23"/>
        </w:rPr>
      </w:pPr>
    </w:p>
    <w:p>
      <w:pPr>
        <w:jc w:val="both"/>
        <w:rPr>
          <w:rFonts w:cstheme="minorHAnsi"/>
          <w:sz w:val="24"/>
          <w:szCs w:val="23"/>
        </w:rPr>
      </w:pPr>
    </w:p>
    <w:p>
      <w:pPr>
        <w:jc w:val="both"/>
        <w:rPr>
          <w:rFonts w:cstheme="minorHAnsi"/>
          <w:b/>
          <w:bCs/>
          <w:caps/>
          <w:color w:val="231F20"/>
          <w:sz w:val="24"/>
          <w:szCs w:val="23"/>
        </w:rPr>
      </w:pPr>
    </w:p>
    <w:p>
      <w:pPr>
        <w:jc w:val="both"/>
        <w:rPr>
          <w:rFonts w:cstheme="minorHAnsi"/>
          <w:b/>
          <w:bCs/>
          <w:caps/>
          <w:color w:val="231F20"/>
          <w:sz w:val="24"/>
          <w:szCs w:val="23"/>
        </w:rPr>
      </w:pPr>
    </w:p>
    <w:p>
      <w:pPr>
        <w:tabs>
          <w:tab w:val="center" w:pos="3751"/>
        </w:tabs>
        <w:jc w:val="both"/>
        <w:rPr>
          <w:rFonts w:cstheme="minorHAnsi"/>
          <w:sz w:val="24"/>
          <w:szCs w:val="23"/>
        </w:rPr>
        <w:sectPr>
          <w:pgSz w:w="8391" w:h="11906" w:code="11"/>
          <w:pgMar w:top="1411" w:right="1411" w:bottom="1411" w:left="1411" w:header="706" w:footer="173" w:gutter="0"/>
          <w:pgNumType w:fmt="lowerRoman"/>
          <w:cols w:space="708"/>
          <w:docGrid w:linePitch="360"/>
        </w:sectPr>
      </w:pPr>
      <w:r>
        <w:rPr>
          <w:noProof/>
          <w:lang w:val="en-ID" w:eastAsia="en-ID"/>
        </w:rPr>
        <mc:AlternateContent>
          <mc:Choice Requires="wps">
            <w:drawing>
              <wp:anchor distT="0" distB="0" distL="114300" distR="114300" simplePos="0" relativeHeight="251814400" behindDoc="0" locked="0" layoutInCell="1" allowOverlap="1">
                <wp:simplePos x="0" y="0"/>
                <wp:positionH relativeFrom="column">
                  <wp:posOffset>-929640</wp:posOffset>
                </wp:positionH>
                <wp:positionV relativeFrom="paragraph">
                  <wp:posOffset>3741420</wp:posOffset>
                </wp:positionV>
                <wp:extent cx="7539355" cy="741045"/>
                <wp:effectExtent l="0" t="0" r="23495" b="2095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9355" cy="741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0EAC00" id="Rectangle 71" o:spid="_x0000_s1026" style="position:absolute;margin-left:-73.2pt;margin-top:294.6pt;width:593.65pt;height:58.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" fillcolor="white [3212]" strokecolor="white [3212]" strokeweight="2pt">
                <v:path arrowok="t"/>
              </v:rect>
            </w:pict>
          </mc:Fallback>
        </mc:AlternateContent>
      </w:r>
      <w:r>
        <w:rPr>
          <w:rFonts w:cstheme="minorHAnsi"/>
          <w:sz w:val="24"/>
          <w:szCs w:val="23"/>
        </w:rPr>
        <w:tab/>
      </w:r>
    </w:p>
    <w:p>
      <w:pPr>
        <w:widowControl w:val="0"/>
        <w:ind w:left="611" w:right="300"/>
        <w:jc w:val="both"/>
        <w:rPr>
          <w:rFonts w:cstheme="minorHAnsi"/>
          <w:b/>
          <w:sz w:val="24"/>
          <w:szCs w:val="24"/>
        </w:rPr>
      </w:pPr>
      <w:r>
        <w:rPr>
          <w:noProof/>
          <w:lang w:val="en-ID" w:eastAsia="en-ID"/>
        </w:rPr>
        <w:lastRenderedPageBreak/>
        <mc:AlternateContent>
          <mc:Choice Requires="wps">
            <w:drawing>
              <wp:anchor distT="0" distB="0" distL="114300" distR="114300" simplePos="0" relativeHeight="251812352" behindDoc="0" locked="0" layoutInCell="1" allowOverlap="1">
                <wp:simplePos x="0" y="0"/>
                <wp:positionH relativeFrom="column">
                  <wp:posOffset>-952500</wp:posOffset>
                </wp:positionH>
                <wp:positionV relativeFrom="paragraph">
                  <wp:posOffset>570865</wp:posOffset>
                </wp:positionV>
                <wp:extent cx="7539355" cy="741045"/>
                <wp:effectExtent l="0" t="0" r="23495" b="2095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9355" cy="741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CA466" id="Rectangle 69" o:spid="_x0000_s1026" style="position:absolute;margin-left:-75pt;margin-top:44.95pt;width:593.65pt;height:58.3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" fillcolor="white [3212]" strokecolor="white [3212]" strokeweight="2pt">
                <v:path arrowok="t"/>
              </v:rect>
            </w:pict>
          </mc:Fallback>
        </mc:AlternateContent>
      </w:r>
    </w:p>
    <w:p>
      <w:pPr>
        <w:widowControl w:val="0"/>
        <w:ind w:left="611" w:right="300"/>
        <w:jc w:val="both"/>
        <w:rPr>
          <w:rFonts w:cstheme="minorHAnsi"/>
          <w:b/>
          <w:sz w:val="24"/>
          <w:szCs w:val="24"/>
        </w:rPr>
      </w:pPr>
      <w:r>
        <w:rPr>
          <w:rFonts w:cstheme="minorHAnsi"/>
          <w:b/>
          <w:noProof/>
          <w:sz w:val="24"/>
          <w:szCs w:val="24"/>
          <w:lang w:val="en-ID" w:eastAsia="en-ID"/>
        </w:rPr>
        <mc:AlternateContent>
          <mc:Choice Requires="wps">
            <w:drawing>
              <wp:anchor distT="0" distB="0" distL="114300" distR="114300" simplePos="0" relativeHeight="251822592" behindDoc="0" locked="0" layoutInCell="1" allowOverlap="1">
                <wp:simplePos x="0" y="0"/>
                <wp:positionH relativeFrom="column">
                  <wp:align>center</wp:align>
                </wp:positionH>
                <wp:positionV relativeFrom="paragraph">
                  <wp:posOffset>0</wp:posOffset>
                </wp:positionV>
                <wp:extent cx="3806456" cy="5784112"/>
                <wp:effectExtent l="0" t="0" r="381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456" cy="5784112"/>
                        </a:xfrm>
                        <a:prstGeom prst="rect">
                          <a:avLst/>
                        </a:prstGeom>
                        <a:solidFill>
                          <a:srgbClr val="FFFFFF"/>
                        </a:solidFill>
                        <a:ln w="9525">
                          <a:noFill/>
                          <a:miter lim="800000"/>
                          <a:headEnd/>
                          <a:tailEnd/>
                        </a:ln>
                      </wps:spPr>
                      <wps:txbx>
                        <w:txbxContent>
                          <w:p>
                            <w:pPr>
                              <w:jc w:val="center"/>
                              <w:rPr>
                                <w:b/>
                                <w:sz w:val="20"/>
                                <w:szCs w:val="20"/>
                                <w:lang w:val="en-US"/>
                              </w:rPr>
                            </w:pPr>
                            <w:r>
                              <w:rPr>
                                <w:b/>
                                <w:sz w:val="20"/>
                                <w:szCs w:val="20"/>
                                <w:lang w:val="en-US"/>
                              </w:rPr>
                              <w:t>TIM TEKNIS PENYUSUNAN BUKU DATA TERPILAH GENDER DAN ANAK PROVINSI KALIMANTAN TENGAH TAHUN 2022</w:t>
                            </w:r>
                          </w:p>
                          <w:p>
                            <w:pPr>
                              <w:rPr>
                                <w:b/>
                                <w:lang w:val="en-US"/>
                              </w:rPr>
                            </w:pPr>
                          </w:p>
                          <w:p>
                            <w:pPr>
                              <w:rPr>
                                <w:lang w:val="en-US"/>
                              </w:rPr>
                            </w:pPr>
                            <w:r>
                              <w:rPr>
                                <w:b/>
                                <w:lang w:val="en-US"/>
                              </w:rPr>
                              <w:t>Penanggung Jawab</w:t>
                            </w:r>
                            <w:r>
                              <w:rPr>
                                <w:lang w:val="en-US"/>
                              </w:rPr>
                              <w:t xml:space="preserve">        : dr. Linae Victoria Aden, M.M.Kes</w:t>
                            </w:r>
                          </w:p>
                          <w:p>
                            <w:pPr>
                              <w:spacing w:after="0" w:line="240" w:lineRule="auto"/>
                              <w:rPr>
                                <w:lang w:val="en-US"/>
                              </w:rPr>
                            </w:pPr>
                            <w:r>
                              <w:rPr>
                                <w:b/>
                                <w:lang w:val="en-US"/>
                              </w:rPr>
                              <w:t>Pengarah Tim</w:t>
                            </w:r>
                            <w:r>
                              <w:rPr>
                                <w:lang w:val="en-US"/>
                              </w:rPr>
                              <w:tab/>
                            </w:r>
                            <w:r>
                              <w:rPr>
                                <w:lang w:val="en-US"/>
                              </w:rPr>
                              <w:tab/>
                              <w:t>: - Ir.Eko Marsono, MM</w:t>
                            </w:r>
                          </w:p>
                          <w:p>
                            <w:pPr>
                              <w:spacing w:after="0" w:line="240" w:lineRule="auto"/>
                              <w:ind w:left="1440" w:firstLine="720"/>
                              <w:rPr>
                                <w:lang w:val="en-US"/>
                              </w:rPr>
                            </w:pPr>
                            <w:r>
                              <w:rPr>
                                <w:lang w:val="en-US"/>
                              </w:rPr>
                              <w:t xml:space="preserve">  - Dr.Ambar Dwi Santoso, S.si, M.Si</w:t>
                            </w:r>
                          </w:p>
                          <w:p>
                            <w:pPr>
                              <w:spacing w:after="0" w:line="240" w:lineRule="auto"/>
                              <w:ind w:left="1440" w:firstLine="720"/>
                              <w:rPr>
                                <w:lang w:val="en-US"/>
                              </w:rPr>
                            </w:pPr>
                            <w:r>
                              <w:rPr>
                                <w:lang w:val="en-US"/>
                              </w:rPr>
                              <w:t xml:space="preserve">  - Dra. Marwati  Sukwatini</w:t>
                            </w:r>
                          </w:p>
                          <w:p>
                            <w:pPr>
                              <w:spacing w:after="0" w:line="240" w:lineRule="auto"/>
                              <w:ind w:left="1440" w:firstLine="720"/>
                              <w:rPr>
                                <w:lang w:val="en-US"/>
                              </w:rPr>
                            </w:pPr>
                            <w:r>
                              <w:rPr>
                                <w:lang w:val="en-US"/>
                              </w:rPr>
                              <w:t xml:space="preserve">  - Drs. Murjani</w:t>
                            </w:r>
                          </w:p>
                          <w:p>
                            <w:pPr>
                              <w:rPr>
                                <w:b/>
                                <w:lang w:val="en-US"/>
                              </w:rPr>
                            </w:pPr>
                          </w:p>
                          <w:p>
                            <w:pPr>
                              <w:spacing w:after="0" w:line="240" w:lineRule="auto"/>
                              <w:rPr>
                                <w:lang w:val="en-US"/>
                              </w:rPr>
                            </w:pPr>
                            <w:r>
                              <w:rPr>
                                <w:b/>
                                <w:lang w:val="en-US"/>
                              </w:rPr>
                              <w:t>Penghitung Indikator</w:t>
                            </w:r>
                            <w:r>
                              <w:rPr>
                                <w:lang w:val="en-US"/>
                              </w:rPr>
                              <w:tab/>
                              <w:t>: - Dian Perwitasari, SST</w:t>
                            </w:r>
                          </w:p>
                          <w:p>
                            <w:pPr>
                              <w:spacing w:after="0" w:line="240" w:lineRule="auto"/>
                              <w:ind w:left="1440" w:firstLine="720"/>
                              <w:rPr>
                                <w:lang w:val="en-US"/>
                              </w:rPr>
                            </w:pPr>
                            <w:r>
                              <w:rPr>
                                <w:lang w:val="en-US"/>
                              </w:rPr>
                              <w:t xml:space="preserve">  - Yuni Setia Wati, SE, M.Si</w:t>
                            </w:r>
                          </w:p>
                          <w:p>
                            <w:pPr>
                              <w:rPr>
                                <w:b/>
                                <w:lang w:val="en-US"/>
                              </w:rPr>
                            </w:pPr>
                          </w:p>
                          <w:p>
                            <w:pPr>
                              <w:spacing w:after="0" w:line="240" w:lineRule="auto"/>
                              <w:rPr>
                                <w:lang w:val="en-US"/>
                              </w:rPr>
                            </w:pPr>
                            <w:r>
                              <w:rPr>
                                <w:b/>
                                <w:lang w:val="en-US"/>
                              </w:rPr>
                              <w:t>Pengolahan Rawdata</w:t>
                            </w:r>
                            <w:r>
                              <w:rPr>
                                <w:lang w:val="en-US"/>
                              </w:rPr>
                              <w:tab/>
                              <w:t>: - Endah Kurniawati, SST,M.ec.Dev</w:t>
                            </w:r>
                          </w:p>
                          <w:p>
                            <w:pPr>
                              <w:spacing w:after="0" w:line="240" w:lineRule="auto"/>
                              <w:rPr>
                                <w:lang w:val="en-US"/>
                              </w:rPr>
                            </w:pPr>
                            <w:r>
                              <w:rPr>
                                <w:lang w:val="en-US"/>
                              </w:rPr>
                              <w:tab/>
                            </w:r>
                            <w:r>
                              <w:rPr>
                                <w:lang w:val="en-US"/>
                              </w:rPr>
                              <w:tab/>
                            </w:r>
                            <w:r>
                              <w:rPr>
                                <w:lang w:val="en-US"/>
                              </w:rPr>
                              <w:tab/>
                              <w:t xml:space="preserve">  - Siana Dewi Artha, ST</w:t>
                            </w:r>
                          </w:p>
                          <w:p>
                            <w:pPr>
                              <w:rPr>
                                <w:b/>
                                <w:lang w:val="en-US"/>
                              </w:rPr>
                            </w:pPr>
                          </w:p>
                          <w:p>
                            <w:pPr>
                              <w:spacing w:after="0" w:line="240" w:lineRule="auto"/>
                              <w:rPr>
                                <w:lang w:val="en-US"/>
                              </w:rPr>
                            </w:pPr>
                            <w:r>
                              <w:rPr>
                                <w:b/>
                                <w:lang w:val="en-US"/>
                              </w:rPr>
                              <w:t>Validasi</w:t>
                            </w:r>
                            <w:r>
                              <w:rPr>
                                <w:b/>
                                <w:lang w:val="en-US"/>
                              </w:rPr>
                              <w:tab/>
                            </w:r>
                            <w:r>
                              <w:rPr>
                                <w:lang w:val="en-US"/>
                              </w:rPr>
                              <w:tab/>
                            </w:r>
                            <w:r>
                              <w:rPr>
                                <w:lang w:val="en-US"/>
                              </w:rPr>
                              <w:tab/>
                              <w:t>: - M.Taufiqurahman, SST,MT</w:t>
                            </w:r>
                          </w:p>
                          <w:p>
                            <w:pPr>
                              <w:spacing w:after="0" w:line="240" w:lineRule="auto"/>
                              <w:rPr>
                                <w:lang w:val="en-US"/>
                              </w:rPr>
                            </w:pPr>
                            <w:r>
                              <w:rPr>
                                <w:lang w:val="en-US"/>
                              </w:rPr>
                              <w:tab/>
                            </w:r>
                            <w:r>
                              <w:rPr>
                                <w:lang w:val="en-US"/>
                              </w:rPr>
                              <w:tab/>
                            </w:r>
                            <w:r>
                              <w:rPr>
                                <w:lang w:val="en-US"/>
                              </w:rPr>
                              <w:tab/>
                              <w:t xml:space="preserve">  - Latif Arafat,SST,M.Si</w:t>
                            </w:r>
                          </w:p>
                          <w:p>
                            <w:pPr>
                              <w:rPr>
                                <w:b/>
                                <w:lang w:val="en-US"/>
                              </w:rPr>
                            </w:pPr>
                          </w:p>
                          <w:p>
                            <w:pPr>
                              <w:spacing w:after="0" w:line="240" w:lineRule="auto"/>
                              <w:rPr>
                                <w:lang w:val="en-US"/>
                              </w:rPr>
                            </w:pPr>
                            <w:r>
                              <w:rPr>
                                <w:b/>
                                <w:lang w:val="en-US"/>
                              </w:rPr>
                              <w:t>Kompilasi</w:t>
                            </w:r>
                            <w:r>
                              <w:rPr>
                                <w:lang w:val="en-US"/>
                              </w:rPr>
                              <w:tab/>
                            </w:r>
                            <w:r>
                              <w:rPr>
                                <w:lang w:val="en-US"/>
                              </w:rPr>
                              <w:tab/>
                              <w:t>: - Elvi Oktavina, SE</w:t>
                            </w:r>
                          </w:p>
                          <w:p>
                            <w:pPr>
                              <w:spacing w:after="0" w:line="240" w:lineRule="auto"/>
                              <w:rPr>
                                <w:lang w:val="en-US"/>
                              </w:rPr>
                            </w:pPr>
                            <w:r>
                              <w:rPr>
                                <w:lang w:val="en-US"/>
                              </w:rPr>
                              <w:tab/>
                            </w:r>
                            <w:r>
                              <w:rPr>
                                <w:lang w:val="en-US"/>
                              </w:rPr>
                              <w:tab/>
                            </w:r>
                            <w:r>
                              <w:rPr>
                                <w:lang w:val="en-US"/>
                              </w:rPr>
                              <w:tab/>
                              <w:t xml:space="preserve">  - Indriyani,BA </w:t>
                            </w:r>
                          </w:p>
                          <w:p>
                            <w:pPr>
                              <w:spacing w:after="0" w:line="240" w:lineRule="auto"/>
                              <w:rPr>
                                <w:lang w:val="en-US"/>
                              </w:rPr>
                            </w:pPr>
                          </w:p>
                          <w:p>
                            <w:pPr>
                              <w:spacing w:after="0" w:line="240" w:lineRule="auto"/>
                              <w:rPr>
                                <w:lang w:val="en-US"/>
                              </w:rPr>
                            </w:pPr>
                            <w:r>
                              <w:rPr>
                                <w:b/>
                                <w:lang w:val="en-US"/>
                              </w:rPr>
                              <w:t>Pengetikan Naska</w:t>
                            </w:r>
                            <w:r>
                              <w:rPr>
                                <w:lang w:val="en-US"/>
                              </w:rPr>
                              <w:t>h</w:t>
                            </w:r>
                            <w:r>
                              <w:rPr>
                                <w:lang w:val="en-US"/>
                              </w:rPr>
                              <w:tab/>
                              <w:t>: - Avista Nurmaulidya, S.Si</w:t>
                            </w:r>
                          </w:p>
                          <w:p>
                            <w:pPr>
                              <w:spacing w:after="0" w:line="240" w:lineRule="auto"/>
                              <w:rPr>
                                <w:lang w:val="en-US"/>
                              </w:rPr>
                            </w:pPr>
                            <w:r>
                              <w:rPr>
                                <w:b/>
                                <w:lang w:val="en-US"/>
                              </w:rPr>
                              <w:t>Dan Layout</w:t>
                            </w:r>
                            <w:r>
                              <w:rPr>
                                <w:lang w:val="en-US"/>
                              </w:rPr>
                              <w:tab/>
                            </w:r>
                            <w:r>
                              <w:rPr>
                                <w:lang w:val="en-US"/>
                              </w:rPr>
                              <w:tab/>
                              <w:t xml:space="preserve">  - Vicky Mei Yolanda,SST</w:t>
                            </w:r>
                            <w:bookmarkStart w:id="0" w:name="_GoBack"/>
                            <w:bookmarkEnd w:id="0"/>
                          </w:p>
                          <w:p>
                            <w:pPr>
                              <w:rPr>
                                <w:sz w:val="24"/>
                                <w:lang w:val="en-US"/>
                              </w:rPr>
                            </w:pPr>
                            <w:r>
                              <w:rPr>
                                <w:sz w:val="24"/>
                                <w:lang w:val="en-US"/>
                              </w:rPr>
                              <w:tab/>
                            </w:r>
                            <w:r>
                              <w:rPr>
                                <w:sz w:val="24"/>
                                <w:lang w:val="en-US"/>
                              </w:rPr>
                              <w:tab/>
                            </w:r>
                            <w:r>
                              <w:rPr>
                                <w:sz w:val="24"/>
                                <w:lang w:val="en-US"/>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0;margin-top:0;width:299.7pt;height:455.45pt;z-index:251822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" stroked="f">
                <v:textbox>
                  <w:txbxContent>
                    <w:p>
                      <w:pPr>
                        <w:jc w:val="center"/>
                        <w:rPr>
                          <w:b/>
                          <w:sz w:val="20"/>
                          <w:szCs w:val="20"/>
                          <w:lang w:val="en-US"/>
                        </w:rPr>
                      </w:pPr>
                      <w:r>
                        <w:rPr>
                          <w:b/>
                          <w:sz w:val="20"/>
                          <w:szCs w:val="20"/>
                          <w:lang w:val="en-US"/>
                        </w:rPr>
                        <w:t>TIM TEKNIS PENYUSUNAN BUKU DATA TERPILAH GENDER DAN ANAK PROVINSI KALIMANTAN TENGAH TAHUN 2022</w:t>
                      </w:r>
                    </w:p>
                    <w:p>
                      <w:pPr>
                        <w:rPr>
                          <w:b/>
                          <w:lang w:val="en-US"/>
                        </w:rPr>
                      </w:pPr>
                    </w:p>
                    <w:p>
                      <w:pPr>
                        <w:rPr>
                          <w:lang w:val="en-US"/>
                        </w:rPr>
                      </w:pPr>
                      <w:r>
                        <w:rPr>
                          <w:b/>
                          <w:lang w:val="en-US"/>
                        </w:rPr>
                        <w:t>Penanggung Jawab</w:t>
                      </w:r>
                      <w:r>
                        <w:rPr>
                          <w:lang w:val="en-US"/>
                        </w:rPr>
                        <w:t xml:space="preserve">        : dr. Linae Victoria Aden, M.M.Kes</w:t>
                      </w:r>
                    </w:p>
                    <w:p>
                      <w:pPr>
                        <w:spacing w:after="0" w:line="240" w:lineRule="auto"/>
                        <w:rPr>
                          <w:lang w:val="en-US"/>
                        </w:rPr>
                      </w:pPr>
                      <w:r>
                        <w:rPr>
                          <w:b/>
                          <w:lang w:val="en-US"/>
                        </w:rPr>
                        <w:t>Pengarah Tim</w:t>
                      </w:r>
                      <w:r>
                        <w:rPr>
                          <w:lang w:val="en-US"/>
                        </w:rPr>
                        <w:tab/>
                      </w:r>
                      <w:r>
                        <w:rPr>
                          <w:lang w:val="en-US"/>
                        </w:rPr>
                        <w:tab/>
                        <w:t>: - Ir.Eko Marsono, MM</w:t>
                      </w:r>
                    </w:p>
                    <w:p>
                      <w:pPr>
                        <w:spacing w:after="0" w:line="240" w:lineRule="auto"/>
                        <w:ind w:left="1440" w:firstLine="720"/>
                        <w:rPr>
                          <w:lang w:val="en-US"/>
                        </w:rPr>
                      </w:pPr>
                      <w:r>
                        <w:rPr>
                          <w:lang w:val="en-US"/>
                        </w:rPr>
                        <w:t xml:space="preserve">  - Dr.Ambar Dwi Santoso, S.si, M.Si</w:t>
                      </w:r>
                    </w:p>
                    <w:p>
                      <w:pPr>
                        <w:spacing w:after="0" w:line="240" w:lineRule="auto"/>
                        <w:ind w:left="1440" w:firstLine="720"/>
                        <w:rPr>
                          <w:lang w:val="en-US"/>
                        </w:rPr>
                      </w:pPr>
                      <w:r>
                        <w:rPr>
                          <w:lang w:val="en-US"/>
                        </w:rPr>
                        <w:t xml:space="preserve">  - Dra. Marwati  Sukwatini</w:t>
                      </w:r>
                    </w:p>
                    <w:p>
                      <w:pPr>
                        <w:spacing w:after="0" w:line="240" w:lineRule="auto"/>
                        <w:ind w:left="1440" w:firstLine="720"/>
                        <w:rPr>
                          <w:lang w:val="en-US"/>
                        </w:rPr>
                      </w:pPr>
                      <w:r>
                        <w:rPr>
                          <w:lang w:val="en-US"/>
                        </w:rPr>
                        <w:t xml:space="preserve">  - Drs. Murjani</w:t>
                      </w:r>
                    </w:p>
                    <w:p>
                      <w:pPr>
                        <w:rPr>
                          <w:b/>
                          <w:lang w:val="en-US"/>
                        </w:rPr>
                      </w:pPr>
                    </w:p>
                    <w:p>
                      <w:pPr>
                        <w:spacing w:after="0" w:line="240" w:lineRule="auto"/>
                        <w:rPr>
                          <w:lang w:val="en-US"/>
                        </w:rPr>
                      </w:pPr>
                      <w:r>
                        <w:rPr>
                          <w:b/>
                          <w:lang w:val="en-US"/>
                        </w:rPr>
                        <w:t>Penghitung Indikator</w:t>
                      </w:r>
                      <w:r>
                        <w:rPr>
                          <w:lang w:val="en-US"/>
                        </w:rPr>
                        <w:tab/>
                        <w:t>: - Dian Perwitasari, SST</w:t>
                      </w:r>
                    </w:p>
                    <w:p>
                      <w:pPr>
                        <w:spacing w:after="0" w:line="240" w:lineRule="auto"/>
                        <w:ind w:left="1440" w:firstLine="720"/>
                        <w:rPr>
                          <w:lang w:val="en-US"/>
                        </w:rPr>
                      </w:pPr>
                      <w:r>
                        <w:rPr>
                          <w:lang w:val="en-US"/>
                        </w:rPr>
                        <w:t xml:space="preserve">  - Yuni Setia Wati, SE, M.Si</w:t>
                      </w:r>
                    </w:p>
                    <w:p>
                      <w:pPr>
                        <w:rPr>
                          <w:b/>
                          <w:lang w:val="en-US"/>
                        </w:rPr>
                      </w:pPr>
                    </w:p>
                    <w:p>
                      <w:pPr>
                        <w:spacing w:after="0" w:line="240" w:lineRule="auto"/>
                        <w:rPr>
                          <w:lang w:val="en-US"/>
                        </w:rPr>
                      </w:pPr>
                      <w:r>
                        <w:rPr>
                          <w:b/>
                          <w:lang w:val="en-US"/>
                        </w:rPr>
                        <w:t>Pengolahan Rawdata</w:t>
                      </w:r>
                      <w:r>
                        <w:rPr>
                          <w:lang w:val="en-US"/>
                        </w:rPr>
                        <w:tab/>
                        <w:t>: - Endah Kurniawati, SST,M.ec.Dev</w:t>
                      </w:r>
                    </w:p>
                    <w:p>
                      <w:pPr>
                        <w:spacing w:after="0" w:line="240" w:lineRule="auto"/>
                        <w:rPr>
                          <w:lang w:val="en-US"/>
                        </w:rPr>
                      </w:pPr>
                      <w:r>
                        <w:rPr>
                          <w:lang w:val="en-US"/>
                        </w:rPr>
                        <w:tab/>
                      </w:r>
                      <w:r>
                        <w:rPr>
                          <w:lang w:val="en-US"/>
                        </w:rPr>
                        <w:tab/>
                      </w:r>
                      <w:r>
                        <w:rPr>
                          <w:lang w:val="en-US"/>
                        </w:rPr>
                        <w:tab/>
                        <w:t xml:space="preserve">  - Siana Dewi Artha, ST</w:t>
                      </w:r>
                    </w:p>
                    <w:p>
                      <w:pPr>
                        <w:rPr>
                          <w:b/>
                          <w:lang w:val="en-US"/>
                        </w:rPr>
                      </w:pPr>
                    </w:p>
                    <w:p>
                      <w:pPr>
                        <w:spacing w:after="0" w:line="240" w:lineRule="auto"/>
                        <w:rPr>
                          <w:lang w:val="en-US"/>
                        </w:rPr>
                      </w:pPr>
                      <w:r>
                        <w:rPr>
                          <w:b/>
                          <w:lang w:val="en-US"/>
                        </w:rPr>
                        <w:t>Validasi</w:t>
                      </w:r>
                      <w:r>
                        <w:rPr>
                          <w:b/>
                          <w:lang w:val="en-US"/>
                        </w:rPr>
                        <w:tab/>
                      </w:r>
                      <w:r>
                        <w:rPr>
                          <w:lang w:val="en-US"/>
                        </w:rPr>
                        <w:tab/>
                      </w:r>
                      <w:r>
                        <w:rPr>
                          <w:lang w:val="en-US"/>
                        </w:rPr>
                        <w:tab/>
                        <w:t>: - M.Taufiqurahman, SST,MT</w:t>
                      </w:r>
                    </w:p>
                    <w:p>
                      <w:pPr>
                        <w:spacing w:after="0" w:line="240" w:lineRule="auto"/>
                        <w:rPr>
                          <w:lang w:val="en-US"/>
                        </w:rPr>
                      </w:pPr>
                      <w:r>
                        <w:rPr>
                          <w:lang w:val="en-US"/>
                        </w:rPr>
                        <w:tab/>
                      </w:r>
                      <w:r>
                        <w:rPr>
                          <w:lang w:val="en-US"/>
                        </w:rPr>
                        <w:tab/>
                      </w:r>
                      <w:r>
                        <w:rPr>
                          <w:lang w:val="en-US"/>
                        </w:rPr>
                        <w:tab/>
                        <w:t xml:space="preserve">  - Latif Arafat,SST,M.Si</w:t>
                      </w:r>
                    </w:p>
                    <w:p>
                      <w:pPr>
                        <w:rPr>
                          <w:b/>
                          <w:lang w:val="en-US"/>
                        </w:rPr>
                      </w:pPr>
                    </w:p>
                    <w:p>
                      <w:pPr>
                        <w:spacing w:after="0" w:line="240" w:lineRule="auto"/>
                        <w:rPr>
                          <w:lang w:val="en-US"/>
                        </w:rPr>
                      </w:pPr>
                      <w:r>
                        <w:rPr>
                          <w:b/>
                          <w:lang w:val="en-US"/>
                        </w:rPr>
                        <w:t>Kompilasi</w:t>
                      </w:r>
                      <w:r>
                        <w:rPr>
                          <w:lang w:val="en-US"/>
                        </w:rPr>
                        <w:tab/>
                      </w:r>
                      <w:r>
                        <w:rPr>
                          <w:lang w:val="en-US"/>
                        </w:rPr>
                        <w:tab/>
                        <w:t>: - Elvi Oktavina, SE</w:t>
                      </w:r>
                    </w:p>
                    <w:p>
                      <w:pPr>
                        <w:spacing w:after="0" w:line="240" w:lineRule="auto"/>
                        <w:rPr>
                          <w:lang w:val="en-US"/>
                        </w:rPr>
                      </w:pPr>
                      <w:r>
                        <w:rPr>
                          <w:lang w:val="en-US"/>
                        </w:rPr>
                        <w:tab/>
                      </w:r>
                      <w:r>
                        <w:rPr>
                          <w:lang w:val="en-US"/>
                        </w:rPr>
                        <w:tab/>
                      </w:r>
                      <w:r>
                        <w:rPr>
                          <w:lang w:val="en-US"/>
                        </w:rPr>
                        <w:tab/>
                        <w:t xml:space="preserve">  - Indriyani,BA </w:t>
                      </w:r>
                    </w:p>
                    <w:p>
                      <w:pPr>
                        <w:spacing w:after="0" w:line="240" w:lineRule="auto"/>
                        <w:rPr>
                          <w:lang w:val="en-US"/>
                        </w:rPr>
                      </w:pPr>
                    </w:p>
                    <w:p>
                      <w:pPr>
                        <w:spacing w:after="0" w:line="240" w:lineRule="auto"/>
                        <w:rPr>
                          <w:lang w:val="en-US"/>
                        </w:rPr>
                      </w:pPr>
                      <w:r>
                        <w:rPr>
                          <w:b/>
                          <w:lang w:val="en-US"/>
                        </w:rPr>
                        <w:t>Pengetikan Naska</w:t>
                      </w:r>
                      <w:r>
                        <w:rPr>
                          <w:lang w:val="en-US"/>
                        </w:rPr>
                        <w:t>h</w:t>
                      </w:r>
                      <w:r>
                        <w:rPr>
                          <w:lang w:val="en-US"/>
                        </w:rPr>
                        <w:tab/>
                        <w:t>: - Avista Nurmaulidya, S.Si</w:t>
                      </w:r>
                    </w:p>
                    <w:p>
                      <w:pPr>
                        <w:spacing w:after="0" w:line="240" w:lineRule="auto"/>
                        <w:rPr>
                          <w:lang w:val="en-US"/>
                        </w:rPr>
                      </w:pPr>
                      <w:r>
                        <w:rPr>
                          <w:b/>
                          <w:lang w:val="en-US"/>
                        </w:rPr>
                        <w:t>Dan Layout</w:t>
                      </w:r>
                      <w:r>
                        <w:rPr>
                          <w:lang w:val="en-US"/>
                        </w:rPr>
                        <w:tab/>
                      </w:r>
                      <w:r>
                        <w:rPr>
                          <w:lang w:val="en-US"/>
                        </w:rPr>
                        <w:tab/>
                        <w:t xml:space="preserve">  - Vicky Mei Yolanda,SST</w:t>
                      </w:r>
                      <w:bookmarkStart w:id="1" w:name="_GoBack"/>
                      <w:bookmarkEnd w:id="1"/>
                    </w:p>
                    <w:p>
                      <w:pPr>
                        <w:rPr>
                          <w:sz w:val="24"/>
                          <w:lang w:val="en-US"/>
                        </w:rPr>
                      </w:pPr>
                      <w:r>
                        <w:rPr>
                          <w:sz w:val="24"/>
                          <w:lang w:val="en-US"/>
                        </w:rPr>
                        <w:tab/>
                      </w:r>
                      <w:r>
                        <w:rPr>
                          <w:sz w:val="24"/>
                          <w:lang w:val="en-US"/>
                        </w:rPr>
                        <w:tab/>
                      </w:r>
                      <w:r>
                        <w:rPr>
                          <w:sz w:val="24"/>
                          <w:lang w:val="en-US"/>
                        </w:rPr>
                        <w:tab/>
                        <w:t xml:space="preserve"> </w:t>
                      </w:r>
                    </w:p>
                  </w:txbxContent>
                </v:textbox>
              </v:shape>
            </w:pict>
          </mc:Fallback>
        </mc:AlternateContent>
      </w:r>
      <w:r>
        <w:rPr>
          <w:noProof/>
          <w:lang w:val="en-ID" w:eastAsia="en-ID"/>
        </w:rPr>
        <mc:AlternateContent>
          <mc:Choice Requires="wps">
            <w:drawing>
              <wp:anchor distT="0" distB="0" distL="114300" distR="114300" simplePos="0" relativeHeight="251675136" behindDoc="0" locked="0" layoutInCell="1" allowOverlap="1">
                <wp:simplePos x="0" y="0"/>
                <wp:positionH relativeFrom="column">
                  <wp:posOffset>-946785</wp:posOffset>
                </wp:positionH>
                <wp:positionV relativeFrom="paragraph">
                  <wp:posOffset>-940435</wp:posOffset>
                </wp:positionV>
                <wp:extent cx="6835140" cy="1393190"/>
                <wp:effectExtent l="0" t="0" r="381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5140" cy="13931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18513" id="Rectangle 61" o:spid="_x0000_s1026" style="position:absolute;margin-left:-74.55pt;margin-top:-74.05pt;width:538.2pt;height:109.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" fillcolor="white [3212]" strokecolor="white [3212]" strokeweight="2pt">
                <v:path arrowok="t"/>
              </v:rect>
            </w:pict>
          </mc:Fallback>
        </mc:AlternateContent>
      </w:r>
    </w:p>
    <w:p>
      <w:pPr>
        <w:widowControl w:val="0"/>
        <w:ind w:left="611" w:right="300"/>
        <w:jc w:val="both"/>
        <w:rPr>
          <w:rFonts w:cstheme="minorHAnsi"/>
          <w:b/>
          <w:sz w:val="24"/>
          <w:szCs w:val="24"/>
        </w:rPr>
      </w:pPr>
    </w:p>
    <w:p>
      <w:pPr>
        <w:jc w:val="both"/>
        <w:rPr>
          <w:rFonts w:cstheme="minorHAnsi"/>
          <w:b/>
          <w:sz w:val="24"/>
          <w:szCs w:val="24"/>
          <w:lang w:val="en-US"/>
        </w:rPr>
      </w:pPr>
      <w:r>
        <w:rPr>
          <w:noProof/>
          <w:lang w:val="en-ID" w:eastAsia="en-ID"/>
        </w:rPr>
        <mc:AlternateContent>
          <mc:Choice Requires="wps">
            <w:drawing>
              <wp:anchor distT="0" distB="0" distL="114300" distR="114300" simplePos="0" relativeHeight="251789824" behindDoc="0" locked="0" layoutInCell="1" allowOverlap="1">
                <wp:simplePos x="0" y="0"/>
                <wp:positionH relativeFrom="column">
                  <wp:posOffset>-950026</wp:posOffset>
                </wp:positionH>
                <wp:positionV relativeFrom="paragraph">
                  <wp:posOffset>4155729</wp:posOffset>
                </wp:positionV>
                <wp:extent cx="6834505" cy="1807845"/>
                <wp:effectExtent l="0" t="0" r="4445" b="1905"/>
                <wp:wrapNone/>
                <wp:docPr id="8205" name="Rectangle 8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4505" cy="18078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839EDD" id="Rectangle 8205" o:spid="_x0000_s1026" style="position:absolute;margin-left:-74.8pt;margin-top:327.2pt;width:538.15pt;height:142.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66944" behindDoc="0" locked="0" layoutInCell="1" allowOverlap="1">
                <wp:simplePos x="0" y="0"/>
                <wp:positionH relativeFrom="column">
                  <wp:posOffset>-1000760</wp:posOffset>
                </wp:positionH>
                <wp:positionV relativeFrom="paragraph">
                  <wp:posOffset>-972820</wp:posOffset>
                </wp:positionV>
                <wp:extent cx="6834505" cy="1807845"/>
                <wp:effectExtent l="0" t="0" r="4445" b="190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4505" cy="18078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529A65" id="Rectangle 60" o:spid="_x0000_s1026" style="position:absolute;margin-left:-78.8pt;margin-top:-76.6pt;width:538.15pt;height:14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67968" behindDoc="0" locked="0" layoutInCell="1" allowOverlap="1">
                <wp:simplePos x="0" y="0"/>
                <wp:positionH relativeFrom="column">
                  <wp:posOffset>-906780</wp:posOffset>
                </wp:positionH>
                <wp:positionV relativeFrom="paragraph">
                  <wp:posOffset>7065010</wp:posOffset>
                </wp:positionV>
                <wp:extent cx="6835140" cy="1393190"/>
                <wp:effectExtent l="0" t="0" r="381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5140" cy="13931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C341B2" id="Rectangle 59" o:spid="_x0000_s1026" style="position:absolute;margin-left:-71.4pt;margin-top:556.3pt;width:538.2pt;height:10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" fillcolor="white [3212]" strokecolor="white [3212]" strokeweight="2pt">
                <v:path arrowok="t"/>
              </v:rect>
            </w:pict>
          </mc:Fallback>
        </mc:AlternateContent>
      </w:r>
      <w:r>
        <w:rPr>
          <w:rFonts w:cstheme="minorHAnsi"/>
          <w:b/>
          <w:sz w:val="24"/>
          <w:szCs w:val="24"/>
          <w:lang w:val="en-US"/>
        </w:rPr>
        <w:br w:type="page"/>
      </w:r>
    </w:p>
    <w:p>
      <w:pPr>
        <w:spacing w:after="0"/>
        <w:ind w:firstLine="851"/>
        <w:jc w:val="both"/>
        <w:rPr>
          <w:rFonts w:cstheme="minorHAnsi"/>
        </w:rPr>
      </w:pPr>
    </w:p>
    <w:p>
      <w:pPr>
        <w:jc w:val="both"/>
        <w:rPr>
          <w:rFonts w:cstheme="minorHAnsi"/>
        </w:rPr>
      </w:pPr>
      <w:r>
        <w:rPr>
          <w:noProof/>
          <w:lang w:val="en-ID" w:eastAsia="en-ID"/>
        </w:rPr>
        <mc:AlternateContent>
          <mc:Choice Requires="wps">
            <w:drawing>
              <wp:anchor distT="0" distB="0" distL="114300" distR="114300" simplePos="0" relativeHeight="251810304" behindDoc="0" locked="0" layoutInCell="1" allowOverlap="1">
                <wp:simplePos x="0" y="0"/>
                <wp:positionH relativeFrom="column">
                  <wp:posOffset>-952500</wp:posOffset>
                </wp:positionH>
                <wp:positionV relativeFrom="paragraph">
                  <wp:posOffset>487045</wp:posOffset>
                </wp:positionV>
                <wp:extent cx="7539355" cy="741045"/>
                <wp:effectExtent l="0" t="0" r="23495" b="209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9355" cy="741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2C4A50" id="Rectangle 23" o:spid="_x0000_s1026" style="position:absolute;margin-left:-75pt;margin-top:38.35pt;width:593.65pt;height:58.3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76160" behindDoc="0" locked="0" layoutInCell="1" allowOverlap="1">
                <wp:simplePos x="0" y="0"/>
                <wp:positionH relativeFrom="column">
                  <wp:posOffset>-1251585</wp:posOffset>
                </wp:positionH>
                <wp:positionV relativeFrom="paragraph">
                  <wp:posOffset>2487295</wp:posOffset>
                </wp:positionV>
                <wp:extent cx="7125335" cy="1282065"/>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5335" cy="1282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AFFCE" id="Rectangle 57" o:spid="_x0000_s1026" style="position:absolute;margin-left:-98.55pt;margin-top:195.85pt;width:561.05pt;height:10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" fillcolor="white [3212]" strokecolor="white [3212]" strokeweight="2pt">
                <v:path arrowok="t"/>
              </v:rect>
            </w:pict>
          </mc:Fallback>
        </mc:AlternateContent>
      </w:r>
      <w:r>
        <w:rPr>
          <w:rFonts w:cstheme="minorHAnsi"/>
        </w:rPr>
        <w:br w:type="page"/>
      </w:r>
    </w:p>
    <w:p>
      <w:pPr>
        <w:spacing w:after="0"/>
        <w:ind w:firstLine="851"/>
        <w:jc w:val="both"/>
        <w:rPr>
          <w:rFonts w:cstheme="minorHAnsi"/>
        </w:rPr>
      </w:pPr>
      <w:r>
        <w:rPr>
          <w:noProof/>
          <w:lang w:val="en-ID" w:eastAsia="en-ID"/>
        </w:rPr>
        <w:lastRenderedPageBreak/>
        <mc:AlternateContent>
          <mc:Choice Requires="wps">
            <w:drawing>
              <wp:anchor distT="0" distB="0" distL="114300" distR="114300" simplePos="0" relativeHeight="251791872" behindDoc="0" locked="0" layoutInCell="1" allowOverlap="1">
                <wp:simplePos x="0" y="0"/>
                <wp:positionH relativeFrom="column">
                  <wp:posOffset>-1603169</wp:posOffset>
                </wp:positionH>
                <wp:positionV relativeFrom="paragraph">
                  <wp:posOffset>5367646</wp:posOffset>
                </wp:positionV>
                <wp:extent cx="7539355" cy="1282065"/>
                <wp:effectExtent l="0" t="0" r="4445" b="0"/>
                <wp:wrapNone/>
                <wp:docPr id="8206" name="Rectangle 8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9355" cy="1282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06" o:spid="_x0000_s1026" style="position:absolute;margin-left:-126.25pt;margin-top:422.65pt;width:593.65pt;height:100.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57728" behindDoc="0" locked="0" layoutInCell="1" allowOverlap="1">
                <wp:simplePos x="0" y="0"/>
                <wp:positionH relativeFrom="column">
                  <wp:posOffset>-906780</wp:posOffset>
                </wp:positionH>
                <wp:positionV relativeFrom="paragraph">
                  <wp:posOffset>7291070</wp:posOffset>
                </wp:positionV>
                <wp:extent cx="6584315" cy="1097280"/>
                <wp:effectExtent l="0" t="0" r="6985" b="762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315" cy="10972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F8D41" id="Rectangle 56" o:spid="_x0000_s1026" style="position:absolute;margin-left:-71.4pt;margin-top:574.1pt;width:518.45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63872" behindDoc="0" locked="0" layoutInCell="1" allowOverlap="1">
                <wp:simplePos x="0" y="0"/>
                <wp:positionH relativeFrom="column">
                  <wp:posOffset>-1578610</wp:posOffset>
                </wp:positionH>
                <wp:positionV relativeFrom="paragraph">
                  <wp:posOffset>-1042035</wp:posOffset>
                </wp:positionV>
                <wp:extent cx="7539355" cy="1282065"/>
                <wp:effectExtent l="0" t="0" r="4445"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9355" cy="1282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957E77" id="Rectangle 55" o:spid="_x0000_s1026" style="position:absolute;margin-left:-124.3pt;margin-top:-82.05pt;width:593.65pt;height:100.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" fillcolor="white [3212]" strokecolor="white [3212]" strokeweight="2pt">
                <v:path arrowok="t"/>
              </v:rect>
            </w:pict>
          </mc:Fallback>
        </mc:AlternateContent>
      </w:r>
      <w:r>
        <w:rPr>
          <w:rFonts w:cstheme="minorHAnsi"/>
        </w:rPr>
        <w:br w:type="page"/>
      </w:r>
    </w:p>
    <w:p>
      <w:pPr>
        <w:spacing w:after="0"/>
        <w:ind w:firstLine="851"/>
        <w:jc w:val="both"/>
        <w:rPr>
          <w:rFonts w:cstheme="minorHAnsi"/>
        </w:rPr>
        <w:sectPr>
          <w:footerReference w:type="default" r:id="rId19"/>
          <w:pgSz w:w="8391" w:h="11906" w:code="11"/>
          <w:pgMar w:top="1412" w:right="1412" w:bottom="1412" w:left="1412" w:header="709" w:footer="176" w:gutter="0"/>
          <w:pgNumType w:fmt="lowerRoman" w:start="1"/>
          <w:cols w:space="708"/>
          <w:docGrid w:linePitch="360"/>
        </w:sectPr>
      </w:pPr>
    </w:p>
    <w:p>
      <w:pPr>
        <w:tabs>
          <w:tab w:val="left" w:pos="9214"/>
        </w:tabs>
        <w:spacing w:after="0"/>
        <w:ind w:left="3402" w:right="33"/>
        <w:jc w:val="both"/>
        <w:rPr>
          <w:rFonts w:cstheme="minorHAnsi"/>
          <w:b/>
          <w:bCs/>
          <w:noProof/>
          <w:sz w:val="20"/>
          <w:szCs w:val="20"/>
        </w:rPr>
      </w:pPr>
      <w:r>
        <w:rPr>
          <w:rFonts w:cstheme="minorHAnsi"/>
          <w:noProof/>
          <w:lang w:val="en-ID" w:eastAsia="en-ID"/>
        </w:rPr>
        <w:lastRenderedPageBreak/>
        <mc:AlternateContent>
          <mc:Choice Requires="wps">
            <w:drawing>
              <wp:anchor distT="0" distB="0" distL="114300" distR="114300" simplePos="0" relativeHeight="251824640" behindDoc="0" locked="0" layoutInCell="1" allowOverlap="1">
                <wp:simplePos x="0" y="0"/>
                <wp:positionH relativeFrom="column">
                  <wp:posOffset>-263865</wp:posOffset>
                </wp:positionH>
                <wp:positionV relativeFrom="paragraph">
                  <wp:posOffset>-28575</wp:posOffset>
                </wp:positionV>
                <wp:extent cx="4752340" cy="4263390"/>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4263390"/>
                        </a:xfrm>
                        <a:prstGeom prst="rect">
                          <a:avLst/>
                        </a:prstGeom>
                        <a:solidFill>
                          <a:srgbClr val="FFFFFF"/>
                        </a:solidFill>
                        <a:ln w="9525">
                          <a:noFill/>
                          <a:miter lim="800000"/>
                          <a:headEnd/>
                          <a:tailEnd/>
                        </a:ln>
                      </wps:spPr>
                      <wps:txbx>
                        <w:txbxContent>
                          <w:p>
                            <w:pPr>
                              <w:jc w:val="center"/>
                              <w:rPr>
                                <w:b/>
                                <w:sz w:val="28"/>
                                <w:lang w:val="en-US"/>
                              </w:rPr>
                            </w:pPr>
                            <w:r>
                              <w:rPr>
                                <w:b/>
                                <w:sz w:val="28"/>
                                <w:lang w:val="en-US"/>
                              </w:rPr>
                              <w:t>KATA PENGANTAR</w:t>
                            </w:r>
                          </w:p>
                          <w:p>
                            <w:pPr>
                              <w:ind w:firstLine="720"/>
                              <w:jc w:val="both"/>
                              <w:rPr>
                                <w:lang w:val="en-US"/>
                              </w:rPr>
                            </w:pPr>
                            <w:r>
                              <w:rPr>
                                <w:lang w:val="en-US"/>
                              </w:rPr>
                              <w:t>Data dan informasi diperlukan dalam rangka mendukung proses perencanaan, implementasi, dan evaluasi hasil pembangunan agar dapat berjalan dengan baik. Data Terpilah Gender dan Anak merupakan informasi awal sebagai pembuka wawasan dan juga sebagai salah satu indikator dalam melihat tingkat partisipasi gender, sehingga menjadi faktor yang sangat penting dalam pengarusutamaan gender. Penyediaan data terpilah dibutuhkan guna memperoleh informasi pembuka wawasan yang dapat menggambarkan kondisi, kebutuuhan, persoalan yang dihadapi perempuan dan laki-laki terkait dengan akses, partisipasi, kontrol dan manfaat dalam pembangunan.</w:t>
                            </w:r>
                          </w:p>
                          <w:p>
                            <w:pPr>
                              <w:ind w:firstLine="720"/>
                              <w:jc w:val="both"/>
                              <w:rPr>
                                <w:lang w:val="en-US"/>
                              </w:rPr>
                            </w:pPr>
                            <w:r>
                              <w:rPr>
                                <w:lang w:val="en-US"/>
                              </w:rPr>
                              <w:t>Publikasi Dasta Terpilah Gender dan Anak Kalimantan Tengah 2022 merupakan hasil kerjasama Dinas Pemberdayaan Perempuan, Perlindungan Anak, Pengendalian Penduduk, dan Keluarga Berencana Provinsi Kalimantan Tengah bersama BPS Provinsi Kalimantan Tengah. Denganterbitnya buku publikasi ini diharapkan dapat memenuhi sebagian kebutuhan data dan informasi mengenai tingkat peranan gender dalam pengarusutamaan gender.</w:t>
                            </w:r>
                          </w:p>
                          <w:p>
                            <w:pPr>
                              <w:ind w:firstLine="720"/>
                              <w:jc w:val="both"/>
                              <w:rPr>
                                <w:sz w:val="24"/>
                                <w:lang w:val="en-US"/>
                              </w:rPr>
                            </w:pPr>
                            <w:r>
                              <w:rPr>
                                <w:lang w:val="en-US"/>
                              </w:rPr>
                              <w:t>Saran dan amasukan konstruktif sangat diharapkan demi perbaikan penyajian data terpilah gender dan anak di masa mendatang</w:t>
                            </w:r>
                            <w:r>
                              <w:rPr>
                                <w:sz w:val="24"/>
                                <w:lang w:val="en-US"/>
                              </w:rPr>
                              <w:t>.</w:t>
                            </w:r>
                          </w:p>
                          <w:p>
                            <w:pPr>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8pt;margin-top:-2.25pt;width:374.2pt;height:335.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" stroked="f">
                <v:textbox>
                  <w:txbxContent>
                    <w:p>
                      <w:pPr>
                        <w:jc w:val="center"/>
                        <w:rPr>
                          <w:b/>
                          <w:sz w:val="28"/>
                          <w:lang w:val="en-US"/>
                        </w:rPr>
                      </w:pPr>
                      <w:r>
                        <w:rPr>
                          <w:b/>
                          <w:sz w:val="28"/>
                          <w:lang w:val="en-US"/>
                        </w:rPr>
                        <w:t>KATA PENGANTAR</w:t>
                      </w:r>
                    </w:p>
                    <w:p>
                      <w:pPr>
                        <w:ind w:firstLine="720"/>
                        <w:jc w:val="both"/>
                        <w:rPr>
                          <w:lang w:val="en-US"/>
                        </w:rPr>
                      </w:pPr>
                      <w:r>
                        <w:rPr>
                          <w:lang w:val="en-US"/>
                        </w:rPr>
                        <w:t>Data dan informasi diperlukan dalam rangka mendukung proses perencanaan, implementasi, dan evaluasi hasil pembangunan agar dapat berjalan dengan baik. Data Terpilah Gender dan Anak merupakan informasi awal sebagai pembuka wawasan dan juga sebagai salah satu indikator dalam melihat tingkat partisipasi gender, sehingga menjadi faktor yang sangat penting dalam pengarusutamaan gender. Penyediaan data terpilah dibutuhkan guna memperoleh informasi pembuka wawasan yang dapat menggambarkan kondisi, kebutuuhan, persoalan yang dihadapi perempuan dan laki-laki terkait dengan akses, partisipasi, kontrol dan manfaat dalam pembangunan.</w:t>
                      </w:r>
                    </w:p>
                    <w:p>
                      <w:pPr>
                        <w:ind w:firstLine="720"/>
                        <w:jc w:val="both"/>
                        <w:rPr>
                          <w:lang w:val="en-US"/>
                        </w:rPr>
                      </w:pPr>
                      <w:r>
                        <w:rPr>
                          <w:lang w:val="en-US"/>
                        </w:rPr>
                        <w:t>Publikasi Dasta Terpilah Gender dan Anak Kalimantan Tengah 2022 merupakan hasil kerjasama Dinas Pemberdayaan Perempuan, Perlindungan Anak, Pengendalian Penduduk, dan Keluarga Berencana Provinsi Kalimantan Tengah bersama BPS Provinsi Kalimantan Tengah. Denganterbitnya buku publikasi ini diharapkan dapat memenuhi sebagian kebutuhan data dan informasi mengenai tingkat peranan gender dalam pengarusutamaan gender.</w:t>
                      </w:r>
                    </w:p>
                    <w:p>
                      <w:pPr>
                        <w:ind w:firstLine="720"/>
                        <w:jc w:val="both"/>
                        <w:rPr>
                          <w:sz w:val="24"/>
                          <w:lang w:val="en-US"/>
                        </w:rPr>
                      </w:pPr>
                      <w:r>
                        <w:rPr>
                          <w:lang w:val="en-US"/>
                        </w:rPr>
                        <w:t>Saran dan amasukan konstruktif sangat diharapkan demi perbaikan penyajian data terpilah gender dan anak di masa mendatang</w:t>
                      </w:r>
                      <w:r>
                        <w:rPr>
                          <w:sz w:val="24"/>
                          <w:lang w:val="en-US"/>
                        </w:rPr>
                        <w:t>.</w:t>
                      </w:r>
                    </w:p>
                    <w:p>
                      <w:pPr>
                        <w:jc w:val="center"/>
                        <w:rPr>
                          <w:b/>
                          <w:sz w:val="28"/>
                        </w:rPr>
                      </w:pPr>
                    </w:p>
                  </w:txbxContent>
                </v:textbox>
              </v:shape>
            </w:pict>
          </mc:Fallback>
        </mc:AlternateContent>
      </w:r>
    </w:p>
    <w:p>
      <w:pPr>
        <w:pStyle w:val="BodyText"/>
        <w:widowControl w:val="0"/>
        <w:spacing w:after="0" w:line="240" w:lineRule="auto"/>
        <w:ind w:left="3261" w:right="55"/>
        <w:jc w:val="both"/>
        <w:rPr>
          <w:rFonts w:asciiTheme="minorHAnsi" w:hAnsiTheme="minorHAnsi" w:cstheme="minorHAnsi"/>
          <w:b/>
          <w:color w:val="231F20"/>
          <w:sz w:val="24"/>
          <w:szCs w:val="24"/>
          <w:lang w:val="en-ID"/>
        </w:rPr>
      </w:pPr>
    </w:p>
    <w:p>
      <w:pPr>
        <w:pStyle w:val="BodyText"/>
        <w:widowControl w:val="0"/>
        <w:spacing w:after="0" w:line="240" w:lineRule="auto"/>
        <w:ind w:left="3261" w:right="55"/>
        <w:jc w:val="both"/>
        <w:rPr>
          <w:rFonts w:asciiTheme="minorHAnsi" w:hAnsiTheme="minorHAnsi" w:cstheme="minorHAnsi"/>
          <w:color w:val="231F20"/>
          <w:sz w:val="24"/>
          <w:szCs w:val="24"/>
          <w:lang w:val="en-ID"/>
        </w:rPr>
      </w:pPr>
    </w:p>
    <w:p>
      <w:pPr>
        <w:spacing w:after="0" w:line="240" w:lineRule="auto"/>
        <w:ind w:firstLine="851"/>
        <w:jc w:val="both"/>
        <w:rPr>
          <w:rFonts w:cstheme="minorHAnsi"/>
        </w:rPr>
        <w:sectPr>
          <w:pgSz w:w="8391" w:h="11906" w:code="11"/>
          <w:pgMar w:top="1134" w:right="1161" w:bottom="1411" w:left="851" w:header="706" w:footer="173" w:gutter="0"/>
          <w:pgNumType w:fmt="lowerRoman"/>
          <w:cols w:space="708"/>
          <w:docGrid w:linePitch="360"/>
        </w:sectPr>
      </w:pPr>
      <w:r>
        <w:rPr>
          <w:rFonts w:cstheme="minorHAnsi"/>
          <w:noProof/>
          <w:lang w:val="en-ID" w:eastAsia="en-ID"/>
        </w:rPr>
        <w:drawing>
          <wp:anchor distT="0" distB="0" distL="114300" distR="114300" simplePos="0" relativeHeight="251815423" behindDoc="0" locked="0" layoutInCell="1" allowOverlap="1">
            <wp:simplePos x="0" y="0"/>
            <wp:positionH relativeFrom="column">
              <wp:posOffset>-540385</wp:posOffset>
            </wp:positionH>
            <wp:positionV relativeFrom="paragraph">
              <wp:posOffset>3928110</wp:posOffset>
            </wp:positionV>
            <wp:extent cx="5318760" cy="2211070"/>
            <wp:effectExtent l="0" t="0" r="0" b="0"/>
            <wp:wrapNone/>
            <wp:docPr id="8" name="Picture 8" descr="C:\Users\Lenovo_DP3APPKB\OneDrive\Desktop\WhatsApp Image 2023-01-16 at 15.2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_DP3APPKB\OneDrive\Desktop\WhatsApp Image 2023-01-16 at 15.25.47.jpe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153" t="63459" r="153" b="9155"/>
                    <a:stretch/>
                  </pic:blipFill>
                  <pic:spPr bwMode="auto">
                    <a:xfrm>
                      <a:off x="0" y="0"/>
                      <a:ext cx="5318760" cy="221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ID" w:eastAsia="en-ID"/>
        </w:rPr>
        <mc:AlternateContent>
          <mc:Choice Requires="wps">
            <w:drawing>
              <wp:anchor distT="0" distB="0" distL="114300" distR="114300" simplePos="0" relativeHeight="251679232" behindDoc="0" locked="0" layoutInCell="1" allowOverlap="1">
                <wp:simplePos x="0" y="0"/>
                <wp:positionH relativeFrom="page">
                  <wp:align>right</wp:align>
                </wp:positionH>
                <wp:positionV relativeFrom="paragraph">
                  <wp:posOffset>5196609</wp:posOffset>
                </wp:positionV>
                <wp:extent cx="7125335" cy="1282065"/>
                <wp:effectExtent l="0" t="0" r="18415" b="1333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5335" cy="1282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B601A" id="Rectangle 54" o:spid="_x0000_s1026" style="position:absolute;margin-left:509.85pt;margin-top:409.2pt;width:561.05pt;height:100.95pt;z-index:251679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" fillcolor="white [3212]" strokecolor="white [3212]" strokeweight="2pt">
                <v:path arrowok="t"/>
                <w10:wrap anchorx="page"/>
              </v:rect>
            </w:pict>
          </mc:Fallback>
        </mc:AlternateContent>
      </w:r>
    </w:p>
    <w:p>
      <w:pPr>
        <w:pStyle w:val="Heading1"/>
        <w:spacing w:before="0"/>
        <w:ind w:right="425" w:firstLine="709"/>
        <w:rPr>
          <w:rFonts w:asciiTheme="minorHAnsi" w:hAnsiTheme="minorHAnsi" w:cstheme="minorHAnsi"/>
          <w:noProof/>
          <w:sz w:val="32"/>
          <w:lang w:val="en-US" w:eastAsia="id-ID"/>
        </w:rPr>
      </w:pPr>
      <w:bookmarkStart w:id="2" w:name="_Toc118715962"/>
      <w:r>
        <w:rPr>
          <w:rFonts w:asciiTheme="minorHAnsi" w:hAnsiTheme="minorHAnsi" w:cstheme="minorHAnsi"/>
          <w:noProof/>
          <w:sz w:val="32"/>
          <w:lang w:val="en-US" w:eastAsia="id-ID"/>
        </w:rPr>
        <w:lastRenderedPageBreak/>
        <w:t>DAFTAR ISI</w:t>
      </w:r>
      <w:bookmarkEnd w:id="2"/>
    </w:p>
    <w:sdt>
      <w:sdtPr>
        <w:rPr>
          <w:rFonts w:asciiTheme="minorHAnsi" w:eastAsiaTheme="minorHAnsi" w:hAnsiTheme="minorHAnsi" w:cstheme="minorBidi"/>
          <w:b/>
          <w:bCs/>
          <w:noProof/>
          <w:color w:val="auto"/>
          <w:sz w:val="22"/>
          <w:szCs w:val="22"/>
          <w:lang w:eastAsia="id-ID"/>
        </w:rPr>
        <w:id w:val="-1647200776"/>
        <w:docPartObj>
          <w:docPartGallery w:val="Table of Contents"/>
          <w:docPartUnique/>
        </w:docPartObj>
      </w:sdtPr>
      <w:sdtContent>
        <w:p>
          <w:pPr>
            <w:pStyle w:val="TOCHeading"/>
            <w:spacing w:before="0"/>
          </w:pPr>
        </w:p>
        <w:p>
          <w:pPr>
            <w:pStyle w:val="TOC1"/>
            <w:rPr>
              <w:rFonts w:eastAsiaTheme="minorEastAsia"/>
              <w:lang w:val="en-ID" w:eastAsia="en-ID"/>
            </w:rPr>
          </w:pPr>
          <w:r>
            <w:fldChar w:fldCharType="begin"/>
          </w:r>
          <w:r>
            <w:instrText xml:space="preserve"> TOC \o "1-3" \h \z \u </w:instrText>
          </w:r>
          <w:r>
            <w:fldChar w:fldCharType="separate"/>
          </w:r>
          <w:hyperlink w:anchor="_Toc118715961" w:history="1">
            <w:r>
              <w:rPr>
                <w:rStyle w:val="Hyperlink"/>
                <w:rFonts w:cstheme="minorHAnsi"/>
              </w:rPr>
              <w:t>KATA PENGANTAR</w:t>
            </w:r>
            <w:r>
              <w:rPr>
                <w:webHidden/>
              </w:rPr>
              <w:tab/>
            </w:r>
            <w:r>
              <w:rPr>
                <w:webHidden/>
              </w:rPr>
              <w:fldChar w:fldCharType="begin"/>
            </w:r>
            <w:r>
              <w:rPr>
                <w:webHidden/>
              </w:rPr>
              <w:instrText xml:space="preserve"> PAGEREF _Toc118715961 \h </w:instrText>
            </w:r>
            <w:r>
              <w:rPr>
                <w:webHidden/>
              </w:rPr>
            </w:r>
            <w:r>
              <w:rPr>
                <w:webHidden/>
              </w:rPr>
              <w:fldChar w:fldCharType="separate"/>
            </w:r>
            <w:r>
              <w:rPr>
                <w:b w:val="0"/>
                <w:bCs w:val="0"/>
                <w:webHidden/>
              </w:rPr>
              <w:t>Error! Bookmark not defined.</w:t>
            </w:r>
            <w:r>
              <w:rPr>
                <w:webHidden/>
              </w:rPr>
              <w:fldChar w:fldCharType="end"/>
            </w:r>
          </w:hyperlink>
        </w:p>
        <w:p>
          <w:pPr>
            <w:pStyle w:val="TOC1"/>
            <w:rPr>
              <w:rFonts w:eastAsiaTheme="minorEastAsia"/>
              <w:lang w:val="en-ID" w:eastAsia="en-ID"/>
            </w:rPr>
          </w:pPr>
          <w:hyperlink w:anchor="_Toc118715962" w:history="1">
            <w:r>
              <w:rPr>
                <w:rStyle w:val="Hyperlink"/>
                <w:rFonts w:cstheme="minorHAnsi"/>
              </w:rPr>
              <w:t>DAFTAR ISI</w:t>
            </w:r>
            <w:r>
              <w:rPr>
                <w:webHidden/>
              </w:rPr>
              <w:tab/>
            </w:r>
            <w:r>
              <w:rPr>
                <w:webHidden/>
              </w:rPr>
              <w:fldChar w:fldCharType="begin"/>
            </w:r>
            <w:r>
              <w:rPr>
                <w:webHidden/>
              </w:rPr>
              <w:instrText xml:space="preserve"> PAGEREF _Toc118715962 \h </w:instrText>
            </w:r>
            <w:r>
              <w:rPr>
                <w:webHidden/>
              </w:rPr>
            </w:r>
            <w:r>
              <w:rPr>
                <w:webHidden/>
              </w:rPr>
              <w:fldChar w:fldCharType="separate"/>
            </w:r>
            <w:r>
              <w:rPr>
                <w:webHidden/>
              </w:rPr>
              <w:t>vi</w:t>
            </w:r>
            <w:r>
              <w:rPr>
                <w:webHidden/>
              </w:rPr>
              <w:fldChar w:fldCharType="end"/>
            </w:r>
          </w:hyperlink>
        </w:p>
        <w:p>
          <w:pPr>
            <w:pStyle w:val="TOC1"/>
            <w:rPr>
              <w:rFonts w:eastAsiaTheme="minorEastAsia"/>
              <w:lang w:val="en-ID" w:eastAsia="en-ID"/>
            </w:rPr>
          </w:pPr>
          <w:hyperlink w:anchor="_Toc118715963" w:history="1">
            <w:r>
              <w:rPr>
                <w:rStyle w:val="Hyperlink"/>
                <w:rFonts w:cstheme="minorHAnsi"/>
              </w:rPr>
              <w:t>DAFTAR GAMBAR</w:t>
            </w:r>
            <w:r>
              <w:rPr>
                <w:webHidden/>
              </w:rPr>
              <w:tab/>
            </w:r>
            <w:r>
              <w:rPr>
                <w:webHidden/>
              </w:rPr>
              <w:fldChar w:fldCharType="begin"/>
            </w:r>
            <w:r>
              <w:rPr>
                <w:webHidden/>
              </w:rPr>
              <w:instrText xml:space="preserve"> PAGEREF _Toc118715963 \h </w:instrText>
            </w:r>
            <w:r>
              <w:rPr>
                <w:webHidden/>
              </w:rPr>
            </w:r>
            <w:r>
              <w:rPr>
                <w:webHidden/>
              </w:rPr>
              <w:fldChar w:fldCharType="separate"/>
            </w:r>
            <w:r>
              <w:rPr>
                <w:webHidden/>
              </w:rPr>
              <w:t>x</w:t>
            </w:r>
            <w:r>
              <w:rPr>
                <w:webHidden/>
              </w:rPr>
              <w:fldChar w:fldCharType="end"/>
            </w:r>
          </w:hyperlink>
        </w:p>
        <w:p>
          <w:pPr>
            <w:pStyle w:val="TOC1"/>
            <w:rPr>
              <w:rFonts w:eastAsiaTheme="minorEastAsia"/>
              <w:lang w:val="en-ID" w:eastAsia="en-ID"/>
            </w:rPr>
          </w:pPr>
          <w:hyperlink w:anchor="_Toc118715964" w:history="1">
            <w:r>
              <w:rPr>
                <w:rStyle w:val="Hyperlink"/>
                <w:rFonts w:cstheme="minorHAnsi"/>
              </w:rPr>
              <w:t>DAFTAR TABEL</w:t>
            </w:r>
            <w:r>
              <w:rPr>
                <w:webHidden/>
              </w:rPr>
              <w:tab/>
            </w:r>
            <w:r>
              <w:rPr>
                <w:webHidden/>
              </w:rPr>
              <w:fldChar w:fldCharType="begin"/>
            </w:r>
            <w:r>
              <w:rPr>
                <w:webHidden/>
              </w:rPr>
              <w:instrText xml:space="preserve"> PAGEREF _Toc118715964 \h </w:instrText>
            </w:r>
            <w:r>
              <w:rPr>
                <w:webHidden/>
              </w:rPr>
            </w:r>
            <w:r>
              <w:rPr>
                <w:webHidden/>
              </w:rPr>
              <w:fldChar w:fldCharType="separate"/>
            </w:r>
            <w:r>
              <w:rPr>
                <w:webHidden/>
              </w:rPr>
              <w:t>3</w:t>
            </w:r>
            <w:r>
              <w:rPr>
                <w:webHidden/>
              </w:rPr>
              <w:fldChar w:fldCharType="end"/>
            </w:r>
          </w:hyperlink>
        </w:p>
        <w:p>
          <w:pPr>
            <w:pStyle w:val="TOC1"/>
            <w:rPr>
              <w:rFonts w:eastAsiaTheme="minorEastAsia"/>
              <w:lang w:val="en-ID" w:eastAsia="en-ID"/>
            </w:rPr>
          </w:pPr>
          <w:hyperlink w:anchor="_Toc118715965" w:history="1">
            <w:r>
              <w:rPr>
                <w:rStyle w:val="Hyperlink"/>
                <w:rFonts w:cstheme="minorHAnsi"/>
              </w:rPr>
              <w:t>BAB I</w:t>
            </w:r>
            <w:r>
              <w:rPr>
                <w:webHidden/>
              </w:rPr>
              <w:tab/>
            </w:r>
            <w:r>
              <w:rPr>
                <w:webHidden/>
              </w:rPr>
              <w:fldChar w:fldCharType="begin"/>
            </w:r>
            <w:r>
              <w:rPr>
                <w:webHidden/>
              </w:rPr>
              <w:instrText xml:space="preserve"> PAGEREF _Toc118715965 \h </w:instrText>
            </w:r>
            <w:r>
              <w:rPr>
                <w:webHidden/>
              </w:rPr>
            </w:r>
            <w:r>
              <w:rPr>
                <w:webHidden/>
              </w:rPr>
              <w:fldChar w:fldCharType="separate"/>
            </w:r>
            <w:r>
              <w:rPr>
                <w:webHidden/>
              </w:rPr>
              <w:t>12</w:t>
            </w:r>
            <w:r>
              <w:rPr>
                <w:webHidden/>
              </w:rPr>
              <w:fldChar w:fldCharType="end"/>
            </w:r>
          </w:hyperlink>
        </w:p>
        <w:p>
          <w:pPr>
            <w:pStyle w:val="TOC2"/>
            <w:rPr>
              <w:rFonts w:eastAsiaTheme="minorEastAsia"/>
              <w:noProof/>
              <w:lang w:val="en-ID" w:eastAsia="en-ID"/>
            </w:rPr>
          </w:pPr>
          <w:hyperlink w:anchor="_Toc118715966" w:history="1">
            <w:r>
              <w:rPr>
                <w:rStyle w:val="Hyperlink"/>
                <w:rFonts w:cstheme="minorHAnsi"/>
                <w:b/>
                <w:bCs/>
                <w:noProof/>
              </w:rPr>
              <w:t>1.1</w:t>
            </w:r>
            <w:r>
              <w:rPr>
                <w:rFonts w:eastAsiaTheme="minorEastAsia"/>
                <w:noProof/>
                <w:lang w:val="en-ID" w:eastAsia="en-ID"/>
              </w:rPr>
              <w:tab/>
            </w:r>
            <w:r>
              <w:rPr>
                <w:rStyle w:val="Hyperlink"/>
                <w:rFonts w:cstheme="minorHAnsi"/>
                <w:b/>
                <w:bCs/>
                <w:noProof/>
                <w:lang w:val="en-US"/>
              </w:rPr>
              <w:t>Latar Belakang</w:t>
            </w:r>
            <w:r>
              <w:rPr>
                <w:noProof/>
                <w:webHidden/>
              </w:rPr>
              <w:tab/>
            </w:r>
            <w:r>
              <w:rPr>
                <w:noProof/>
                <w:webHidden/>
              </w:rPr>
              <w:fldChar w:fldCharType="begin"/>
            </w:r>
            <w:r>
              <w:rPr>
                <w:noProof/>
                <w:webHidden/>
              </w:rPr>
              <w:instrText xml:space="preserve"> PAGEREF _Toc118715966 \h </w:instrText>
            </w:r>
            <w:r>
              <w:rPr>
                <w:noProof/>
                <w:webHidden/>
              </w:rPr>
            </w:r>
            <w:r>
              <w:rPr>
                <w:noProof/>
                <w:webHidden/>
              </w:rPr>
              <w:fldChar w:fldCharType="separate"/>
            </w:r>
            <w:r>
              <w:rPr>
                <w:noProof/>
                <w:webHidden/>
              </w:rPr>
              <w:t>12</w:t>
            </w:r>
            <w:r>
              <w:rPr>
                <w:noProof/>
                <w:webHidden/>
              </w:rPr>
              <w:fldChar w:fldCharType="end"/>
            </w:r>
          </w:hyperlink>
        </w:p>
        <w:p>
          <w:pPr>
            <w:pStyle w:val="TOC2"/>
            <w:rPr>
              <w:rFonts w:eastAsiaTheme="minorEastAsia"/>
              <w:noProof/>
              <w:lang w:val="en-ID" w:eastAsia="en-ID"/>
            </w:rPr>
          </w:pPr>
          <w:hyperlink w:anchor="_Toc118715967" w:history="1">
            <w:r>
              <w:rPr>
                <w:rStyle w:val="Hyperlink"/>
                <w:rFonts w:cstheme="minorHAnsi"/>
                <w:b/>
                <w:bCs/>
                <w:noProof/>
                <w:lang w:val="en-US"/>
              </w:rPr>
              <w:t>1.2</w:t>
            </w:r>
            <w:r>
              <w:rPr>
                <w:rFonts w:eastAsiaTheme="minorEastAsia"/>
                <w:noProof/>
                <w:lang w:val="en-ID" w:eastAsia="en-ID"/>
              </w:rPr>
              <w:tab/>
            </w:r>
            <w:r>
              <w:rPr>
                <w:rStyle w:val="Hyperlink"/>
                <w:rFonts w:cstheme="minorHAnsi"/>
                <w:b/>
                <w:bCs/>
                <w:noProof/>
                <w:lang w:val="en-US"/>
              </w:rPr>
              <w:t>Maksud dan Tujuan</w:t>
            </w:r>
            <w:r>
              <w:rPr>
                <w:noProof/>
                <w:webHidden/>
              </w:rPr>
              <w:tab/>
            </w:r>
            <w:r>
              <w:rPr>
                <w:noProof/>
                <w:webHidden/>
              </w:rPr>
              <w:fldChar w:fldCharType="begin"/>
            </w:r>
            <w:r>
              <w:rPr>
                <w:noProof/>
                <w:webHidden/>
              </w:rPr>
              <w:instrText xml:space="preserve"> PAGEREF _Toc118715967 \h </w:instrText>
            </w:r>
            <w:r>
              <w:rPr>
                <w:noProof/>
                <w:webHidden/>
              </w:rPr>
            </w:r>
            <w:r>
              <w:rPr>
                <w:noProof/>
                <w:webHidden/>
              </w:rPr>
              <w:fldChar w:fldCharType="separate"/>
            </w:r>
            <w:r>
              <w:rPr>
                <w:noProof/>
                <w:webHidden/>
              </w:rPr>
              <w:t>14</w:t>
            </w:r>
            <w:r>
              <w:rPr>
                <w:noProof/>
                <w:webHidden/>
              </w:rPr>
              <w:fldChar w:fldCharType="end"/>
            </w:r>
          </w:hyperlink>
        </w:p>
        <w:p>
          <w:pPr>
            <w:pStyle w:val="TOC2"/>
            <w:rPr>
              <w:rFonts w:eastAsiaTheme="minorEastAsia"/>
              <w:noProof/>
              <w:lang w:val="en-ID" w:eastAsia="en-ID"/>
            </w:rPr>
          </w:pPr>
          <w:hyperlink w:anchor="_Toc118715968" w:history="1">
            <w:r>
              <w:rPr>
                <w:rStyle w:val="Hyperlink"/>
                <w:rFonts w:cstheme="minorHAnsi"/>
                <w:b/>
                <w:bCs/>
                <w:noProof/>
                <w:lang w:val="en-US"/>
              </w:rPr>
              <w:t>1.3</w:t>
            </w:r>
            <w:r>
              <w:rPr>
                <w:rFonts w:eastAsiaTheme="minorEastAsia"/>
                <w:noProof/>
                <w:lang w:val="en-ID" w:eastAsia="en-ID"/>
              </w:rPr>
              <w:tab/>
            </w:r>
            <w:r>
              <w:rPr>
                <w:rStyle w:val="Hyperlink"/>
                <w:rFonts w:cstheme="minorHAnsi"/>
                <w:b/>
                <w:bCs/>
                <w:noProof/>
              </w:rPr>
              <w:t>M</w:t>
            </w:r>
            <w:r>
              <w:rPr>
                <w:rStyle w:val="Hyperlink"/>
                <w:rFonts w:cstheme="minorHAnsi"/>
                <w:b/>
                <w:bCs/>
                <w:noProof/>
                <w:lang w:val="en-US"/>
              </w:rPr>
              <w:t>anfaat</w:t>
            </w:r>
            <w:r>
              <w:rPr>
                <w:noProof/>
                <w:webHidden/>
              </w:rPr>
              <w:tab/>
            </w:r>
            <w:r>
              <w:rPr>
                <w:noProof/>
                <w:webHidden/>
              </w:rPr>
              <w:fldChar w:fldCharType="begin"/>
            </w:r>
            <w:r>
              <w:rPr>
                <w:noProof/>
                <w:webHidden/>
              </w:rPr>
              <w:instrText xml:space="preserve"> PAGEREF _Toc118715968 \h </w:instrText>
            </w:r>
            <w:r>
              <w:rPr>
                <w:noProof/>
                <w:webHidden/>
              </w:rPr>
            </w:r>
            <w:r>
              <w:rPr>
                <w:noProof/>
                <w:webHidden/>
              </w:rPr>
              <w:fldChar w:fldCharType="separate"/>
            </w:r>
            <w:r>
              <w:rPr>
                <w:noProof/>
                <w:webHidden/>
              </w:rPr>
              <w:t>15</w:t>
            </w:r>
            <w:r>
              <w:rPr>
                <w:noProof/>
                <w:webHidden/>
              </w:rPr>
              <w:fldChar w:fldCharType="end"/>
            </w:r>
          </w:hyperlink>
        </w:p>
        <w:p>
          <w:pPr>
            <w:pStyle w:val="TOC2"/>
            <w:rPr>
              <w:rFonts w:eastAsiaTheme="minorEastAsia"/>
              <w:noProof/>
              <w:lang w:val="en-ID" w:eastAsia="en-ID"/>
            </w:rPr>
          </w:pPr>
          <w:hyperlink w:anchor="_Toc118715969" w:history="1">
            <w:r>
              <w:rPr>
                <w:rStyle w:val="Hyperlink"/>
                <w:rFonts w:cstheme="minorHAnsi"/>
                <w:b/>
                <w:bCs/>
                <w:noProof/>
                <w:lang w:val="en-US"/>
              </w:rPr>
              <w:t>1.4</w:t>
            </w:r>
            <w:r>
              <w:rPr>
                <w:rFonts w:eastAsiaTheme="minorEastAsia"/>
                <w:noProof/>
                <w:lang w:val="en-ID" w:eastAsia="en-ID"/>
              </w:rPr>
              <w:tab/>
            </w:r>
            <w:r>
              <w:rPr>
                <w:rStyle w:val="Hyperlink"/>
                <w:rFonts w:cstheme="minorHAnsi"/>
                <w:b/>
                <w:bCs/>
                <w:noProof/>
                <w:lang w:val="en-US"/>
              </w:rPr>
              <w:t>Sumber Data</w:t>
            </w:r>
            <w:r>
              <w:rPr>
                <w:noProof/>
                <w:webHidden/>
              </w:rPr>
              <w:tab/>
            </w:r>
            <w:r>
              <w:rPr>
                <w:noProof/>
                <w:webHidden/>
              </w:rPr>
              <w:fldChar w:fldCharType="begin"/>
            </w:r>
            <w:r>
              <w:rPr>
                <w:noProof/>
                <w:webHidden/>
              </w:rPr>
              <w:instrText xml:space="preserve"> PAGEREF _Toc118715969 \h </w:instrText>
            </w:r>
            <w:r>
              <w:rPr>
                <w:noProof/>
                <w:webHidden/>
              </w:rPr>
            </w:r>
            <w:r>
              <w:rPr>
                <w:noProof/>
                <w:webHidden/>
              </w:rPr>
              <w:fldChar w:fldCharType="separate"/>
            </w:r>
            <w:r>
              <w:rPr>
                <w:noProof/>
                <w:webHidden/>
              </w:rPr>
              <w:t>15</w:t>
            </w:r>
            <w:r>
              <w:rPr>
                <w:noProof/>
                <w:webHidden/>
              </w:rPr>
              <w:fldChar w:fldCharType="end"/>
            </w:r>
          </w:hyperlink>
        </w:p>
        <w:p>
          <w:pPr>
            <w:pStyle w:val="TOC1"/>
            <w:rPr>
              <w:rFonts w:eastAsiaTheme="minorEastAsia"/>
              <w:lang w:val="en-ID" w:eastAsia="en-ID"/>
            </w:rPr>
          </w:pPr>
          <w:hyperlink w:anchor="_Toc118715970" w:history="1">
            <w:r>
              <w:rPr>
                <w:rStyle w:val="Hyperlink"/>
                <w:rFonts w:cstheme="minorHAnsi"/>
              </w:rPr>
              <w:t>BAB II</w:t>
            </w:r>
            <w:r>
              <w:rPr>
                <w:webHidden/>
              </w:rPr>
              <w:tab/>
            </w:r>
            <w:r>
              <w:rPr>
                <w:webHidden/>
              </w:rPr>
              <w:fldChar w:fldCharType="begin"/>
            </w:r>
            <w:r>
              <w:rPr>
                <w:webHidden/>
              </w:rPr>
              <w:instrText xml:space="preserve"> PAGEREF _Toc118715970 \h </w:instrText>
            </w:r>
            <w:r>
              <w:rPr>
                <w:webHidden/>
              </w:rPr>
            </w:r>
            <w:r>
              <w:rPr>
                <w:webHidden/>
              </w:rPr>
              <w:fldChar w:fldCharType="separate"/>
            </w:r>
            <w:r>
              <w:rPr>
                <w:webHidden/>
              </w:rPr>
              <w:t>19</w:t>
            </w:r>
            <w:r>
              <w:rPr>
                <w:webHidden/>
              </w:rPr>
              <w:fldChar w:fldCharType="end"/>
            </w:r>
          </w:hyperlink>
        </w:p>
        <w:p>
          <w:pPr>
            <w:pStyle w:val="TOC2"/>
            <w:rPr>
              <w:rFonts w:eastAsiaTheme="minorEastAsia"/>
              <w:noProof/>
              <w:lang w:val="en-ID" w:eastAsia="en-ID"/>
            </w:rPr>
          </w:pPr>
          <w:hyperlink w:anchor="_Toc118715971" w:history="1">
            <w:r>
              <w:rPr>
                <w:rStyle w:val="Hyperlink"/>
                <w:rFonts w:cstheme="minorHAnsi"/>
                <w:b/>
                <w:bCs/>
                <w:noProof/>
              </w:rPr>
              <w:t>2.1</w:t>
            </w:r>
            <w:r>
              <w:rPr>
                <w:rFonts w:eastAsiaTheme="minorEastAsia"/>
                <w:noProof/>
                <w:lang w:val="en-ID" w:eastAsia="en-ID"/>
              </w:rPr>
              <w:tab/>
            </w:r>
            <w:r>
              <w:rPr>
                <w:rStyle w:val="Hyperlink"/>
                <w:rFonts w:cstheme="minorHAnsi"/>
                <w:b/>
                <w:bCs/>
                <w:noProof/>
                <w:lang w:val="en-US"/>
              </w:rPr>
              <w:t>Keadaan Geografis</w:t>
            </w:r>
            <w:r>
              <w:rPr>
                <w:noProof/>
                <w:webHidden/>
              </w:rPr>
              <w:tab/>
            </w:r>
            <w:r>
              <w:rPr>
                <w:noProof/>
                <w:webHidden/>
              </w:rPr>
              <w:fldChar w:fldCharType="begin"/>
            </w:r>
            <w:r>
              <w:rPr>
                <w:noProof/>
                <w:webHidden/>
              </w:rPr>
              <w:instrText xml:space="preserve"> PAGEREF _Toc118715971 \h </w:instrText>
            </w:r>
            <w:r>
              <w:rPr>
                <w:noProof/>
                <w:webHidden/>
              </w:rPr>
            </w:r>
            <w:r>
              <w:rPr>
                <w:noProof/>
                <w:webHidden/>
              </w:rPr>
              <w:fldChar w:fldCharType="separate"/>
            </w:r>
            <w:r>
              <w:rPr>
                <w:noProof/>
                <w:webHidden/>
              </w:rPr>
              <w:t>19</w:t>
            </w:r>
            <w:r>
              <w:rPr>
                <w:noProof/>
                <w:webHidden/>
              </w:rPr>
              <w:fldChar w:fldCharType="end"/>
            </w:r>
          </w:hyperlink>
        </w:p>
        <w:p>
          <w:pPr>
            <w:pStyle w:val="TOC2"/>
            <w:rPr>
              <w:rFonts w:eastAsiaTheme="minorEastAsia"/>
              <w:noProof/>
              <w:lang w:val="en-ID" w:eastAsia="en-ID"/>
            </w:rPr>
          </w:pPr>
          <w:hyperlink w:anchor="_Toc118715972" w:history="1">
            <w:r>
              <w:rPr>
                <w:rStyle w:val="Hyperlink"/>
                <w:rFonts w:cstheme="minorHAnsi"/>
                <w:b/>
                <w:bCs/>
                <w:noProof/>
                <w:lang w:val="en-ID"/>
              </w:rPr>
              <w:t>2.2</w:t>
            </w:r>
            <w:r>
              <w:rPr>
                <w:rFonts w:eastAsiaTheme="minorEastAsia"/>
                <w:noProof/>
                <w:lang w:val="en-ID" w:eastAsia="en-ID"/>
              </w:rPr>
              <w:tab/>
            </w:r>
            <w:r>
              <w:rPr>
                <w:rStyle w:val="Hyperlink"/>
                <w:rFonts w:cstheme="minorHAnsi"/>
                <w:b/>
                <w:bCs/>
                <w:noProof/>
                <w:lang w:val="en-ID"/>
              </w:rPr>
              <w:t>Perekonomian Daerah</w:t>
            </w:r>
            <w:r>
              <w:rPr>
                <w:noProof/>
                <w:webHidden/>
              </w:rPr>
              <w:tab/>
            </w:r>
            <w:r>
              <w:rPr>
                <w:noProof/>
                <w:webHidden/>
              </w:rPr>
              <w:fldChar w:fldCharType="begin"/>
            </w:r>
            <w:r>
              <w:rPr>
                <w:noProof/>
                <w:webHidden/>
              </w:rPr>
              <w:instrText xml:space="preserve"> PAGEREF _Toc118715972 \h </w:instrText>
            </w:r>
            <w:r>
              <w:rPr>
                <w:noProof/>
                <w:webHidden/>
              </w:rPr>
            </w:r>
            <w:r>
              <w:rPr>
                <w:noProof/>
                <w:webHidden/>
              </w:rPr>
              <w:fldChar w:fldCharType="separate"/>
            </w:r>
            <w:r>
              <w:rPr>
                <w:noProof/>
                <w:webHidden/>
              </w:rPr>
              <w:t>20</w:t>
            </w:r>
            <w:r>
              <w:rPr>
                <w:noProof/>
                <w:webHidden/>
              </w:rPr>
              <w:fldChar w:fldCharType="end"/>
            </w:r>
          </w:hyperlink>
        </w:p>
        <w:p>
          <w:pPr>
            <w:pStyle w:val="TOC2"/>
            <w:rPr>
              <w:rFonts w:eastAsiaTheme="minorEastAsia"/>
              <w:noProof/>
              <w:lang w:val="en-ID" w:eastAsia="en-ID"/>
            </w:rPr>
          </w:pPr>
          <w:hyperlink w:anchor="_Toc118715973" w:history="1">
            <w:r>
              <w:rPr>
                <w:rStyle w:val="Hyperlink"/>
                <w:rFonts w:cstheme="minorHAnsi"/>
                <w:b/>
                <w:bCs/>
                <w:noProof/>
                <w:lang w:val="en-ID"/>
              </w:rPr>
              <w:t>2.3</w:t>
            </w:r>
            <w:r>
              <w:rPr>
                <w:rFonts w:eastAsiaTheme="minorEastAsia"/>
                <w:noProof/>
                <w:lang w:val="en-ID" w:eastAsia="en-ID"/>
              </w:rPr>
              <w:tab/>
            </w:r>
            <w:r>
              <w:rPr>
                <w:rStyle w:val="Hyperlink"/>
                <w:rFonts w:cstheme="minorHAnsi"/>
                <w:b/>
                <w:bCs/>
                <w:noProof/>
              </w:rPr>
              <w:t>Sejarah dan Sosial Budaya</w:t>
            </w:r>
            <w:r>
              <w:rPr>
                <w:noProof/>
                <w:webHidden/>
              </w:rPr>
              <w:tab/>
            </w:r>
            <w:r>
              <w:rPr>
                <w:noProof/>
                <w:webHidden/>
              </w:rPr>
              <w:fldChar w:fldCharType="begin"/>
            </w:r>
            <w:r>
              <w:rPr>
                <w:noProof/>
                <w:webHidden/>
              </w:rPr>
              <w:instrText xml:space="preserve"> PAGEREF _Toc118715973 \h </w:instrText>
            </w:r>
            <w:r>
              <w:rPr>
                <w:noProof/>
                <w:webHidden/>
              </w:rPr>
            </w:r>
            <w:r>
              <w:rPr>
                <w:noProof/>
                <w:webHidden/>
              </w:rPr>
              <w:fldChar w:fldCharType="separate"/>
            </w:r>
            <w:r>
              <w:rPr>
                <w:noProof/>
                <w:webHidden/>
              </w:rPr>
              <w:t>27</w:t>
            </w:r>
            <w:r>
              <w:rPr>
                <w:noProof/>
                <w:webHidden/>
              </w:rPr>
              <w:fldChar w:fldCharType="end"/>
            </w:r>
          </w:hyperlink>
        </w:p>
        <w:p>
          <w:pPr>
            <w:pStyle w:val="TOC1"/>
            <w:rPr>
              <w:rFonts w:eastAsiaTheme="minorEastAsia"/>
              <w:lang w:val="en-ID" w:eastAsia="en-ID"/>
            </w:rPr>
          </w:pPr>
          <w:hyperlink w:anchor="_Toc118715974" w:history="1">
            <w:r>
              <w:rPr>
                <w:rStyle w:val="Hyperlink"/>
                <w:rFonts w:cstheme="minorHAnsi"/>
              </w:rPr>
              <w:t>BAB III</w:t>
            </w:r>
            <w:r>
              <w:rPr>
                <w:webHidden/>
              </w:rPr>
              <w:tab/>
            </w:r>
            <w:r>
              <w:rPr>
                <w:webHidden/>
              </w:rPr>
              <w:fldChar w:fldCharType="begin"/>
            </w:r>
            <w:r>
              <w:rPr>
                <w:webHidden/>
              </w:rPr>
              <w:instrText xml:space="preserve"> PAGEREF _Toc118715974 \h </w:instrText>
            </w:r>
            <w:r>
              <w:rPr>
                <w:webHidden/>
              </w:rPr>
            </w:r>
            <w:r>
              <w:rPr>
                <w:webHidden/>
              </w:rPr>
              <w:fldChar w:fldCharType="separate"/>
            </w:r>
            <w:r>
              <w:rPr>
                <w:webHidden/>
              </w:rPr>
              <w:t>33</w:t>
            </w:r>
            <w:r>
              <w:rPr>
                <w:webHidden/>
              </w:rPr>
              <w:fldChar w:fldCharType="end"/>
            </w:r>
          </w:hyperlink>
        </w:p>
        <w:p>
          <w:pPr>
            <w:pStyle w:val="TOC2"/>
            <w:rPr>
              <w:rFonts w:eastAsiaTheme="minorEastAsia"/>
              <w:noProof/>
              <w:lang w:val="en-ID" w:eastAsia="en-ID"/>
            </w:rPr>
          </w:pPr>
          <w:hyperlink w:anchor="_Toc118715975" w:history="1">
            <w:r>
              <w:rPr>
                <w:rStyle w:val="Hyperlink"/>
                <w:rFonts w:cstheme="minorHAnsi"/>
                <w:b/>
                <w:bCs/>
                <w:noProof/>
                <w:lang w:val="en-US"/>
              </w:rPr>
              <w:t>3.1</w:t>
            </w:r>
            <w:r>
              <w:rPr>
                <w:rFonts w:eastAsiaTheme="minorEastAsia"/>
                <w:noProof/>
                <w:lang w:val="en-ID" w:eastAsia="en-ID"/>
              </w:rPr>
              <w:tab/>
            </w:r>
            <w:r>
              <w:rPr>
                <w:rStyle w:val="Hyperlink"/>
                <w:b/>
                <w:bCs/>
                <w:noProof/>
                <w:lang w:val="en-US"/>
              </w:rPr>
              <w:t>Perkembangan Penduduk</w:t>
            </w:r>
            <w:r>
              <w:rPr>
                <w:noProof/>
                <w:webHidden/>
              </w:rPr>
              <w:tab/>
            </w:r>
            <w:r>
              <w:rPr>
                <w:noProof/>
                <w:webHidden/>
              </w:rPr>
              <w:fldChar w:fldCharType="begin"/>
            </w:r>
            <w:r>
              <w:rPr>
                <w:noProof/>
                <w:webHidden/>
              </w:rPr>
              <w:instrText xml:space="preserve"> PAGEREF _Toc118715975 \h </w:instrText>
            </w:r>
            <w:r>
              <w:rPr>
                <w:noProof/>
                <w:webHidden/>
              </w:rPr>
            </w:r>
            <w:r>
              <w:rPr>
                <w:noProof/>
                <w:webHidden/>
              </w:rPr>
              <w:fldChar w:fldCharType="separate"/>
            </w:r>
            <w:r>
              <w:rPr>
                <w:noProof/>
                <w:webHidden/>
              </w:rPr>
              <w:t>34</w:t>
            </w:r>
            <w:r>
              <w:rPr>
                <w:noProof/>
                <w:webHidden/>
              </w:rPr>
              <w:fldChar w:fldCharType="end"/>
            </w:r>
          </w:hyperlink>
        </w:p>
        <w:p>
          <w:pPr>
            <w:pStyle w:val="TOC2"/>
            <w:rPr>
              <w:rFonts w:eastAsiaTheme="minorEastAsia"/>
              <w:noProof/>
              <w:lang w:val="en-ID" w:eastAsia="en-ID"/>
            </w:rPr>
          </w:pPr>
          <w:hyperlink w:anchor="_Toc118715976" w:history="1">
            <w:r>
              <w:rPr>
                <w:rStyle w:val="Hyperlink"/>
                <w:rFonts w:cstheme="minorHAnsi"/>
                <w:b/>
                <w:bCs/>
                <w:noProof/>
                <w:lang w:val="en-US"/>
              </w:rPr>
              <w:t>3.2</w:t>
            </w:r>
            <w:r>
              <w:rPr>
                <w:rFonts w:eastAsiaTheme="minorEastAsia"/>
                <w:noProof/>
                <w:lang w:val="en-ID" w:eastAsia="en-ID"/>
              </w:rPr>
              <w:tab/>
            </w:r>
            <w:r>
              <w:rPr>
                <w:rStyle w:val="Hyperlink"/>
                <w:b/>
                <w:bCs/>
                <w:noProof/>
              </w:rPr>
              <w:t>Struktur Umur Pendudu</w:t>
            </w:r>
            <w:r>
              <w:rPr>
                <w:rStyle w:val="Hyperlink"/>
                <w:b/>
                <w:bCs/>
                <w:noProof/>
                <w:lang w:val="en-US"/>
              </w:rPr>
              <w:t>k</w:t>
            </w:r>
            <w:r>
              <w:rPr>
                <w:noProof/>
                <w:webHidden/>
              </w:rPr>
              <w:tab/>
            </w:r>
            <w:r>
              <w:rPr>
                <w:noProof/>
                <w:webHidden/>
              </w:rPr>
              <w:fldChar w:fldCharType="begin"/>
            </w:r>
            <w:r>
              <w:rPr>
                <w:noProof/>
                <w:webHidden/>
              </w:rPr>
              <w:instrText xml:space="preserve"> PAGEREF _Toc118715976 \h </w:instrText>
            </w:r>
            <w:r>
              <w:rPr>
                <w:noProof/>
                <w:webHidden/>
              </w:rPr>
            </w:r>
            <w:r>
              <w:rPr>
                <w:noProof/>
                <w:webHidden/>
              </w:rPr>
              <w:fldChar w:fldCharType="separate"/>
            </w:r>
            <w:r>
              <w:rPr>
                <w:noProof/>
                <w:webHidden/>
              </w:rPr>
              <w:t>39</w:t>
            </w:r>
            <w:r>
              <w:rPr>
                <w:noProof/>
                <w:webHidden/>
              </w:rPr>
              <w:fldChar w:fldCharType="end"/>
            </w:r>
          </w:hyperlink>
        </w:p>
        <w:p>
          <w:pPr>
            <w:pStyle w:val="TOC3"/>
            <w:rPr>
              <w:rFonts w:eastAsiaTheme="minorEastAsia"/>
              <w:noProof/>
              <w:lang w:val="en-ID" w:eastAsia="en-ID"/>
            </w:rPr>
          </w:pPr>
          <w:hyperlink w:anchor="_Toc118715977" w:history="1">
            <w:r>
              <w:rPr>
                <w:rStyle w:val="Hyperlink"/>
                <w:rFonts w:cstheme="minorHAnsi"/>
                <w:b/>
                <w:bCs/>
                <w:noProof/>
              </w:rPr>
              <w:t>Jumlah Penduduk</w:t>
            </w:r>
            <w:r>
              <w:rPr>
                <w:noProof/>
                <w:webHidden/>
              </w:rPr>
              <w:tab/>
            </w:r>
            <w:r>
              <w:rPr>
                <w:noProof/>
                <w:webHidden/>
              </w:rPr>
              <w:fldChar w:fldCharType="begin"/>
            </w:r>
            <w:r>
              <w:rPr>
                <w:noProof/>
                <w:webHidden/>
              </w:rPr>
              <w:instrText xml:space="preserve"> PAGEREF _Toc118715977 \h </w:instrText>
            </w:r>
            <w:r>
              <w:rPr>
                <w:noProof/>
                <w:webHidden/>
              </w:rPr>
            </w:r>
            <w:r>
              <w:rPr>
                <w:noProof/>
                <w:webHidden/>
              </w:rPr>
              <w:fldChar w:fldCharType="separate"/>
            </w:r>
            <w:r>
              <w:rPr>
                <w:noProof/>
                <w:webHidden/>
              </w:rPr>
              <w:t>41</w:t>
            </w:r>
            <w:r>
              <w:rPr>
                <w:noProof/>
                <w:webHidden/>
              </w:rPr>
              <w:fldChar w:fldCharType="end"/>
            </w:r>
          </w:hyperlink>
        </w:p>
        <w:p>
          <w:pPr>
            <w:pStyle w:val="TOC3"/>
            <w:rPr>
              <w:rFonts w:eastAsiaTheme="minorEastAsia"/>
              <w:noProof/>
              <w:lang w:val="en-ID" w:eastAsia="en-ID"/>
            </w:rPr>
          </w:pPr>
          <w:hyperlink w:anchor="_Toc118715978" w:history="1">
            <w:r>
              <w:rPr>
                <w:rStyle w:val="Hyperlink"/>
                <w:rFonts w:cstheme="minorHAnsi"/>
                <w:b/>
                <w:bCs/>
                <w:noProof/>
              </w:rPr>
              <w:t>Jumlah</w:t>
            </w:r>
            <w:r>
              <w:rPr>
                <w:noProof/>
                <w:webHidden/>
              </w:rPr>
              <w:tab/>
            </w:r>
            <w:r>
              <w:rPr>
                <w:noProof/>
                <w:webHidden/>
              </w:rPr>
              <w:fldChar w:fldCharType="begin"/>
            </w:r>
            <w:r>
              <w:rPr>
                <w:noProof/>
                <w:webHidden/>
              </w:rPr>
              <w:instrText xml:space="preserve"> PAGEREF _Toc118715978 \h </w:instrText>
            </w:r>
            <w:r>
              <w:rPr>
                <w:noProof/>
                <w:webHidden/>
              </w:rPr>
            </w:r>
            <w:r>
              <w:rPr>
                <w:noProof/>
                <w:webHidden/>
              </w:rPr>
              <w:fldChar w:fldCharType="separate"/>
            </w:r>
            <w:r>
              <w:rPr>
                <w:noProof/>
                <w:webHidden/>
              </w:rPr>
              <w:t>41</w:t>
            </w:r>
            <w:r>
              <w:rPr>
                <w:noProof/>
                <w:webHidden/>
              </w:rPr>
              <w:fldChar w:fldCharType="end"/>
            </w:r>
          </w:hyperlink>
        </w:p>
        <w:p>
          <w:pPr>
            <w:pStyle w:val="TOC2"/>
            <w:rPr>
              <w:rFonts w:eastAsiaTheme="minorEastAsia"/>
              <w:noProof/>
              <w:lang w:val="en-ID" w:eastAsia="en-ID"/>
            </w:rPr>
          </w:pPr>
          <w:hyperlink w:anchor="_Toc118715979" w:history="1">
            <w:r>
              <w:rPr>
                <w:rStyle w:val="Hyperlink"/>
                <w:rFonts w:cstheme="minorHAnsi"/>
                <w:b/>
                <w:bCs/>
                <w:noProof/>
                <w:lang w:val="en-US"/>
              </w:rPr>
              <w:t>3.3</w:t>
            </w:r>
            <w:r>
              <w:rPr>
                <w:rFonts w:eastAsiaTheme="minorEastAsia"/>
                <w:noProof/>
                <w:lang w:val="en-ID" w:eastAsia="en-ID"/>
              </w:rPr>
              <w:tab/>
            </w:r>
            <w:r>
              <w:rPr>
                <w:rStyle w:val="Hyperlink"/>
                <w:b/>
                <w:bCs/>
                <w:noProof/>
              </w:rPr>
              <w:t>Rasio Jenis Kelamin</w:t>
            </w:r>
            <w:r>
              <w:rPr>
                <w:noProof/>
                <w:webHidden/>
              </w:rPr>
              <w:tab/>
            </w:r>
            <w:r>
              <w:rPr>
                <w:noProof/>
                <w:webHidden/>
              </w:rPr>
              <w:fldChar w:fldCharType="begin"/>
            </w:r>
            <w:r>
              <w:rPr>
                <w:noProof/>
                <w:webHidden/>
              </w:rPr>
              <w:instrText xml:space="preserve"> PAGEREF _Toc118715979 \h </w:instrText>
            </w:r>
            <w:r>
              <w:rPr>
                <w:noProof/>
                <w:webHidden/>
              </w:rPr>
            </w:r>
            <w:r>
              <w:rPr>
                <w:noProof/>
                <w:webHidden/>
              </w:rPr>
              <w:fldChar w:fldCharType="separate"/>
            </w:r>
            <w:r>
              <w:rPr>
                <w:noProof/>
                <w:webHidden/>
              </w:rPr>
              <w:t>42</w:t>
            </w:r>
            <w:r>
              <w:rPr>
                <w:noProof/>
                <w:webHidden/>
              </w:rPr>
              <w:fldChar w:fldCharType="end"/>
            </w:r>
          </w:hyperlink>
        </w:p>
        <w:p>
          <w:pPr>
            <w:pStyle w:val="TOC2"/>
            <w:rPr>
              <w:rFonts w:eastAsiaTheme="minorEastAsia"/>
              <w:noProof/>
              <w:lang w:val="en-ID" w:eastAsia="en-ID"/>
            </w:rPr>
          </w:pPr>
          <w:hyperlink w:anchor="_Toc118715980" w:history="1">
            <w:r>
              <w:rPr>
                <w:rStyle w:val="Hyperlink"/>
                <w:rFonts w:cstheme="minorHAnsi"/>
                <w:b/>
                <w:bCs/>
                <w:noProof/>
                <w:lang w:val="en-US"/>
              </w:rPr>
              <w:t>3.4</w:t>
            </w:r>
            <w:r>
              <w:rPr>
                <w:rFonts w:eastAsiaTheme="minorEastAsia"/>
                <w:noProof/>
                <w:lang w:val="en-ID" w:eastAsia="en-ID"/>
              </w:rPr>
              <w:tab/>
            </w:r>
            <w:r>
              <w:rPr>
                <w:rStyle w:val="Hyperlink"/>
                <w:rFonts w:cstheme="minorHAnsi"/>
                <w:b/>
                <w:bCs/>
                <w:noProof/>
                <w:lang w:val="en-US"/>
              </w:rPr>
              <w:t>Potensi Menuju Penduduk Masa Depan</w:t>
            </w:r>
            <w:r>
              <w:rPr>
                <w:noProof/>
                <w:webHidden/>
              </w:rPr>
              <w:tab/>
            </w:r>
            <w:r>
              <w:rPr>
                <w:noProof/>
                <w:webHidden/>
              </w:rPr>
              <w:fldChar w:fldCharType="begin"/>
            </w:r>
            <w:r>
              <w:rPr>
                <w:noProof/>
                <w:webHidden/>
              </w:rPr>
              <w:instrText xml:space="preserve"> PAGEREF _Toc118715980 \h </w:instrText>
            </w:r>
            <w:r>
              <w:rPr>
                <w:noProof/>
                <w:webHidden/>
              </w:rPr>
            </w:r>
            <w:r>
              <w:rPr>
                <w:noProof/>
                <w:webHidden/>
              </w:rPr>
              <w:fldChar w:fldCharType="separate"/>
            </w:r>
            <w:r>
              <w:rPr>
                <w:noProof/>
                <w:webHidden/>
              </w:rPr>
              <w:t>45</w:t>
            </w:r>
            <w:r>
              <w:rPr>
                <w:noProof/>
                <w:webHidden/>
              </w:rPr>
              <w:fldChar w:fldCharType="end"/>
            </w:r>
          </w:hyperlink>
        </w:p>
        <w:p>
          <w:pPr>
            <w:pStyle w:val="TOC1"/>
            <w:rPr>
              <w:rFonts w:eastAsiaTheme="minorEastAsia"/>
              <w:lang w:val="en-ID" w:eastAsia="en-ID"/>
            </w:rPr>
          </w:pPr>
          <w:hyperlink w:anchor="_Toc118715981" w:history="1">
            <w:r>
              <w:rPr>
                <w:rStyle w:val="Hyperlink"/>
                <w:rFonts w:cstheme="minorHAnsi"/>
              </w:rPr>
              <w:t>BAB IV</w:t>
            </w:r>
            <w:r>
              <w:rPr>
                <w:webHidden/>
              </w:rPr>
              <w:tab/>
            </w:r>
            <w:r>
              <w:rPr>
                <w:webHidden/>
              </w:rPr>
              <w:fldChar w:fldCharType="begin"/>
            </w:r>
            <w:r>
              <w:rPr>
                <w:webHidden/>
              </w:rPr>
              <w:instrText xml:space="preserve"> PAGEREF _Toc118715981 \h </w:instrText>
            </w:r>
            <w:r>
              <w:rPr>
                <w:webHidden/>
              </w:rPr>
            </w:r>
            <w:r>
              <w:rPr>
                <w:webHidden/>
              </w:rPr>
              <w:fldChar w:fldCharType="separate"/>
            </w:r>
            <w:r>
              <w:rPr>
                <w:webHidden/>
              </w:rPr>
              <w:t>51</w:t>
            </w:r>
            <w:r>
              <w:rPr>
                <w:webHidden/>
              </w:rPr>
              <w:fldChar w:fldCharType="end"/>
            </w:r>
          </w:hyperlink>
        </w:p>
        <w:p>
          <w:pPr>
            <w:pStyle w:val="TOC2"/>
            <w:rPr>
              <w:rFonts w:eastAsiaTheme="minorEastAsia"/>
              <w:noProof/>
              <w:lang w:val="en-ID" w:eastAsia="en-ID"/>
            </w:rPr>
          </w:pPr>
          <w:hyperlink w:anchor="_Toc118715982" w:history="1">
            <w:r>
              <w:rPr>
                <w:rStyle w:val="Hyperlink"/>
                <w:rFonts w:cstheme="minorHAnsi"/>
                <w:b/>
                <w:bCs/>
                <w:noProof/>
                <w:lang w:val="en-US"/>
              </w:rPr>
              <w:t>4.1</w:t>
            </w:r>
            <w:r>
              <w:rPr>
                <w:rFonts w:eastAsiaTheme="minorEastAsia"/>
                <w:noProof/>
                <w:lang w:val="en-ID" w:eastAsia="en-ID"/>
              </w:rPr>
              <w:tab/>
            </w:r>
            <w:r>
              <w:rPr>
                <w:rStyle w:val="Hyperlink"/>
                <w:rFonts w:cstheme="minorHAnsi"/>
                <w:b/>
                <w:bCs/>
                <w:noProof/>
                <w:lang w:val="en-US"/>
              </w:rPr>
              <w:t>Angka Partisipasi Kasar (APK)</w:t>
            </w:r>
            <w:r>
              <w:rPr>
                <w:noProof/>
                <w:webHidden/>
              </w:rPr>
              <w:tab/>
            </w:r>
            <w:r>
              <w:rPr>
                <w:noProof/>
                <w:webHidden/>
              </w:rPr>
              <w:fldChar w:fldCharType="begin"/>
            </w:r>
            <w:r>
              <w:rPr>
                <w:noProof/>
                <w:webHidden/>
              </w:rPr>
              <w:instrText xml:space="preserve"> PAGEREF _Toc118715982 \h </w:instrText>
            </w:r>
            <w:r>
              <w:rPr>
                <w:noProof/>
                <w:webHidden/>
              </w:rPr>
            </w:r>
            <w:r>
              <w:rPr>
                <w:noProof/>
                <w:webHidden/>
              </w:rPr>
              <w:fldChar w:fldCharType="separate"/>
            </w:r>
            <w:r>
              <w:rPr>
                <w:noProof/>
                <w:webHidden/>
              </w:rPr>
              <w:t>53</w:t>
            </w:r>
            <w:r>
              <w:rPr>
                <w:noProof/>
                <w:webHidden/>
              </w:rPr>
              <w:fldChar w:fldCharType="end"/>
            </w:r>
          </w:hyperlink>
        </w:p>
        <w:p>
          <w:pPr>
            <w:pStyle w:val="TOC2"/>
            <w:rPr>
              <w:rFonts w:eastAsiaTheme="minorEastAsia"/>
              <w:noProof/>
              <w:lang w:val="en-ID" w:eastAsia="en-ID"/>
            </w:rPr>
          </w:pPr>
          <w:hyperlink w:anchor="_Toc118715983" w:history="1">
            <w:r>
              <w:rPr>
                <w:rStyle w:val="Hyperlink"/>
                <w:rFonts w:cstheme="minorHAnsi"/>
                <w:b/>
                <w:bCs/>
                <w:noProof/>
                <w:lang w:val="en-US"/>
              </w:rPr>
              <w:t>4.2</w:t>
            </w:r>
            <w:r>
              <w:rPr>
                <w:rFonts w:eastAsiaTheme="minorEastAsia"/>
                <w:noProof/>
                <w:lang w:val="en-ID" w:eastAsia="en-ID"/>
              </w:rPr>
              <w:tab/>
            </w:r>
            <w:r>
              <w:rPr>
                <w:rStyle w:val="Hyperlink"/>
                <w:rFonts w:cstheme="minorHAnsi"/>
                <w:b/>
                <w:bCs/>
                <w:noProof/>
                <w:lang w:val="en-US"/>
              </w:rPr>
              <w:t>Angka Partisipasi Sekolah</w:t>
            </w:r>
            <w:r>
              <w:rPr>
                <w:noProof/>
                <w:webHidden/>
              </w:rPr>
              <w:tab/>
            </w:r>
            <w:r>
              <w:rPr>
                <w:noProof/>
                <w:webHidden/>
              </w:rPr>
              <w:fldChar w:fldCharType="begin"/>
            </w:r>
            <w:r>
              <w:rPr>
                <w:noProof/>
                <w:webHidden/>
              </w:rPr>
              <w:instrText xml:space="preserve"> PAGEREF _Toc118715983 \h </w:instrText>
            </w:r>
            <w:r>
              <w:rPr>
                <w:noProof/>
                <w:webHidden/>
              </w:rPr>
            </w:r>
            <w:r>
              <w:rPr>
                <w:noProof/>
                <w:webHidden/>
              </w:rPr>
              <w:fldChar w:fldCharType="separate"/>
            </w:r>
            <w:r>
              <w:rPr>
                <w:noProof/>
                <w:webHidden/>
              </w:rPr>
              <w:t>59</w:t>
            </w:r>
            <w:r>
              <w:rPr>
                <w:noProof/>
                <w:webHidden/>
              </w:rPr>
              <w:fldChar w:fldCharType="end"/>
            </w:r>
          </w:hyperlink>
        </w:p>
        <w:p>
          <w:pPr>
            <w:pStyle w:val="TOC2"/>
            <w:rPr>
              <w:rFonts w:eastAsiaTheme="minorEastAsia"/>
              <w:noProof/>
              <w:lang w:val="en-ID" w:eastAsia="en-ID"/>
            </w:rPr>
          </w:pPr>
          <w:hyperlink w:anchor="_Toc118715984" w:history="1">
            <w:r>
              <w:rPr>
                <w:rStyle w:val="Hyperlink"/>
                <w:b/>
                <w:bCs/>
                <w:noProof/>
                <w:lang w:val="en-US"/>
              </w:rPr>
              <w:t>4.3</w:t>
            </w:r>
            <w:r>
              <w:rPr>
                <w:rFonts w:eastAsiaTheme="minorEastAsia"/>
                <w:noProof/>
                <w:lang w:val="en-ID" w:eastAsia="en-ID"/>
              </w:rPr>
              <w:tab/>
            </w:r>
            <w:r>
              <w:rPr>
                <w:rStyle w:val="Hyperlink"/>
                <w:b/>
                <w:bCs/>
                <w:noProof/>
                <w:lang w:val="en-US"/>
              </w:rPr>
              <w:t>Angkka Partisipasi Murni (APM)</w:t>
            </w:r>
            <w:r>
              <w:rPr>
                <w:noProof/>
                <w:webHidden/>
              </w:rPr>
              <w:tab/>
            </w:r>
            <w:r>
              <w:rPr>
                <w:noProof/>
                <w:webHidden/>
              </w:rPr>
              <w:fldChar w:fldCharType="begin"/>
            </w:r>
            <w:r>
              <w:rPr>
                <w:noProof/>
                <w:webHidden/>
              </w:rPr>
              <w:instrText xml:space="preserve"> PAGEREF _Toc118715984 \h </w:instrText>
            </w:r>
            <w:r>
              <w:rPr>
                <w:noProof/>
                <w:webHidden/>
              </w:rPr>
            </w:r>
            <w:r>
              <w:rPr>
                <w:noProof/>
                <w:webHidden/>
              </w:rPr>
              <w:fldChar w:fldCharType="separate"/>
            </w:r>
            <w:r>
              <w:rPr>
                <w:noProof/>
                <w:webHidden/>
              </w:rPr>
              <w:t>65</w:t>
            </w:r>
            <w:r>
              <w:rPr>
                <w:noProof/>
                <w:webHidden/>
              </w:rPr>
              <w:fldChar w:fldCharType="end"/>
            </w:r>
          </w:hyperlink>
        </w:p>
        <w:p>
          <w:pPr>
            <w:pStyle w:val="TOC2"/>
            <w:rPr>
              <w:rFonts w:eastAsiaTheme="minorEastAsia"/>
              <w:noProof/>
              <w:lang w:val="en-ID" w:eastAsia="en-ID"/>
            </w:rPr>
          </w:pPr>
          <w:hyperlink w:anchor="_Toc118715985" w:history="1">
            <w:r>
              <w:rPr>
                <w:rStyle w:val="Hyperlink"/>
                <w:rFonts w:cstheme="minorHAnsi"/>
                <w:b/>
                <w:bCs/>
                <w:noProof/>
                <w:lang w:val="en-US"/>
              </w:rPr>
              <w:t xml:space="preserve">4.4 </w:t>
            </w:r>
            <w:r>
              <w:rPr>
                <w:rFonts w:eastAsiaTheme="minorEastAsia"/>
                <w:noProof/>
                <w:lang w:val="en-ID" w:eastAsia="en-ID"/>
              </w:rPr>
              <w:t xml:space="preserve">    </w:t>
            </w:r>
            <w:r>
              <w:rPr>
                <w:rStyle w:val="Hyperlink"/>
                <w:rFonts w:cstheme="minorHAnsi"/>
                <w:b/>
                <w:bCs/>
                <w:noProof/>
                <w:lang w:val="en-US"/>
              </w:rPr>
              <w:t>Angka Melek Huruf (AMH)</w:t>
            </w:r>
            <w:r>
              <w:rPr>
                <w:noProof/>
                <w:webHidden/>
              </w:rPr>
              <w:tab/>
            </w:r>
            <w:r>
              <w:rPr>
                <w:noProof/>
                <w:webHidden/>
              </w:rPr>
              <w:fldChar w:fldCharType="begin"/>
            </w:r>
            <w:r>
              <w:rPr>
                <w:noProof/>
                <w:webHidden/>
              </w:rPr>
              <w:instrText xml:space="preserve"> PAGEREF _Toc118715985 \h </w:instrText>
            </w:r>
            <w:r>
              <w:rPr>
                <w:noProof/>
                <w:webHidden/>
              </w:rPr>
            </w:r>
            <w:r>
              <w:rPr>
                <w:noProof/>
                <w:webHidden/>
              </w:rPr>
              <w:fldChar w:fldCharType="separate"/>
            </w:r>
            <w:r>
              <w:rPr>
                <w:noProof/>
                <w:webHidden/>
              </w:rPr>
              <w:t>71</w:t>
            </w:r>
            <w:r>
              <w:rPr>
                <w:noProof/>
                <w:webHidden/>
              </w:rPr>
              <w:fldChar w:fldCharType="end"/>
            </w:r>
          </w:hyperlink>
        </w:p>
        <w:p>
          <w:pPr>
            <w:pStyle w:val="TOC2"/>
            <w:rPr>
              <w:rFonts w:eastAsiaTheme="minorEastAsia"/>
              <w:noProof/>
              <w:lang w:val="en-ID" w:eastAsia="en-ID"/>
            </w:rPr>
          </w:pPr>
          <w:hyperlink w:anchor="_Toc118715986" w:history="1">
            <w:r>
              <w:rPr>
                <w:rStyle w:val="Hyperlink"/>
                <w:rFonts w:cstheme="minorHAnsi"/>
                <w:b/>
                <w:bCs/>
                <w:noProof/>
              </w:rPr>
              <w:t>4.4</w:t>
            </w:r>
            <w:r>
              <w:rPr>
                <w:rFonts w:eastAsiaTheme="minorEastAsia"/>
                <w:noProof/>
                <w:lang w:val="en-ID" w:eastAsia="en-ID"/>
              </w:rPr>
              <w:tab/>
            </w:r>
            <w:r>
              <w:rPr>
                <w:rStyle w:val="Hyperlink"/>
                <w:rFonts w:cstheme="minorHAnsi"/>
                <w:b/>
                <w:bCs/>
                <w:noProof/>
                <w:lang w:val="en-US"/>
              </w:rPr>
              <w:t>Penduduk</w:t>
            </w:r>
            <w:r>
              <w:rPr>
                <w:rStyle w:val="Hyperlink"/>
                <w:rFonts w:cstheme="minorHAnsi"/>
                <w:b/>
                <w:bCs/>
                <w:noProof/>
              </w:rPr>
              <w:t xml:space="preserve"> Menurut Jenjang Pendidikan Tertinggi yang Ditamatkan</w:t>
            </w:r>
            <w:r>
              <w:rPr>
                <w:noProof/>
                <w:webHidden/>
              </w:rPr>
              <w:tab/>
            </w:r>
            <w:r>
              <w:rPr>
                <w:noProof/>
                <w:webHidden/>
              </w:rPr>
              <w:fldChar w:fldCharType="begin"/>
            </w:r>
            <w:r>
              <w:rPr>
                <w:noProof/>
                <w:webHidden/>
              </w:rPr>
              <w:instrText xml:space="preserve"> PAGEREF _Toc118715986 \h </w:instrText>
            </w:r>
            <w:r>
              <w:rPr>
                <w:noProof/>
                <w:webHidden/>
              </w:rPr>
            </w:r>
            <w:r>
              <w:rPr>
                <w:noProof/>
                <w:webHidden/>
              </w:rPr>
              <w:fldChar w:fldCharType="separate"/>
            </w:r>
            <w:r>
              <w:rPr>
                <w:noProof/>
                <w:webHidden/>
              </w:rPr>
              <w:t>77</w:t>
            </w:r>
            <w:r>
              <w:rPr>
                <w:noProof/>
                <w:webHidden/>
              </w:rPr>
              <w:fldChar w:fldCharType="end"/>
            </w:r>
          </w:hyperlink>
        </w:p>
        <w:p>
          <w:pPr>
            <w:pStyle w:val="TOC2"/>
            <w:rPr>
              <w:rFonts w:eastAsiaTheme="minorEastAsia"/>
              <w:noProof/>
              <w:lang w:val="en-ID" w:eastAsia="en-ID"/>
            </w:rPr>
          </w:pPr>
          <w:hyperlink w:anchor="_Toc118715987" w:history="1">
            <w:r>
              <w:rPr>
                <w:rStyle w:val="Hyperlink"/>
                <w:rFonts w:cstheme="minorHAnsi"/>
                <w:b/>
                <w:bCs/>
                <w:noProof/>
                <w:lang w:val="en-US"/>
              </w:rPr>
              <w:t>4.6</w:t>
            </w:r>
            <w:r>
              <w:rPr>
                <w:rFonts w:eastAsiaTheme="minorEastAsia"/>
                <w:noProof/>
                <w:lang w:val="en-ID" w:eastAsia="en-ID"/>
              </w:rPr>
              <w:tab/>
            </w:r>
            <w:r>
              <w:rPr>
                <w:rStyle w:val="Hyperlink"/>
                <w:rFonts w:cstheme="minorHAnsi"/>
                <w:b/>
                <w:bCs/>
                <w:noProof/>
                <w:lang w:val="en-US"/>
              </w:rPr>
              <w:t>Rata-rata Lama Sekolah</w:t>
            </w:r>
            <w:r>
              <w:rPr>
                <w:noProof/>
                <w:webHidden/>
              </w:rPr>
              <w:tab/>
            </w:r>
            <w:r>
              <w:rPr>
                <w:noProof/>
                <w:webHidden/>
              </w:rPr>
              <w:fldChar w:fldCharType="begin"/>
            </w:r>
            <w:r>
              <w:rPr>
                <w:noProof/>
                <w:webHidden/>
              </w:rPr>
              <w:instrText xml:space="preserve"> PAGEREF _Toc118715987 \h </w:instrText>
            </w:r>
            <w:r>
              <w:rPr>
                <w:noProof/>
                <w:webHidden/>
              </w:rPr>
            </w:r>
            <w:r>
              <w:rPr>
                <w:noProof/>
                <w:webHidden/>
              </w:rPr>
              <w:fldChar w:fldCharType="separate"/>
            </w:r>
            <w:r>
              <w:rPr>
                <w:noProof/>
                <w:webHidden/>
              </w:rPr>
              <w:t>82</w:t>
            </w:r>
            <w:r>
              <w:rPr>
                <w:noProof/>
                <w:webHidden/>
              </w:rPr>
              <w:fldChar w:fldCharType="end"/>
            </w:r>
          </w:hyperlink>
        </w:p>
        <w:p>
          <w:pPr>
            <w:pStyle w:val="TOC2"/>
            <w:rPr>
              <w:rFonts w:eastAsiaTheme="minorEastAsia"/>
              <w:noProof/>
              <w:lang w:val="en-ID" w:eastAsia="en-ID"/>
            </w:rPr>
          </w:pPr>
          <w:hyperlink w:anchor="_Toc118715988" w:history="1">
            <w:r>
              <w:rPr>
                <w:rStyle w:val="Hyperlink"/>
                <w:rFonts w:cstheme="minorHAnsi"/>
                <w:b/>
                <w:bCs/>
                <w:noProof/>
                <w:lang w:val="en-US"/>
              </w:rPr>
              <w:t>4.7</w:t>
            </w:r>
            <w:r>
              <w:rPr>
                <w:rFonts w:eastAsiaTheme="minorEastAsia"/>
                <w:noProof/>
                <w:lang w:val="en-ID" w:eastAsia="en-ID"/>
              </w:rPr>
              <w:tab/>
            </w:r>
            <w:r>
              <w:rPr>
                <w:rStyle w:val="Hyperlink"/>
                <w:rFonts w:cstheme="minorHAnsi"/>
                <w:b/>
                <w:bCs/>
                <w:noProof/>
                <w:lang w:val="en-US"/>
              </w:rPr>
              <w:t>Akses Terhadap Teknologi Komunikasi dan Informasi</w:t>
            </w:r>
            <w:r>
              <w:rPr>
                <w:noProof/>
                <w:webHidden/>
              </w:rPr>
              <w:tab/>
            </w:r>
            <w:r>
              <w:rPr>
                <w:noProof/>
                <w:webHidden/>
              </w:rPr>
              <w:fldChar w:fldCharType="begin"/>
            </w:r>
            <w:r>
              <w:rPr>
                <w:noProof/>
                <w:webHidden/>
              </w:rPr>
              <w:instrText xml:space="preserve"> PAGEREF _Toc118715988 \h </w:instrText>
            </w:r>
            <w:r>
              <w:rPr>
                <w:noProof/>
                <w:webHidden/>
              </w:rPr>
            </w:r>
            <w:r>
              <w:rPr>
                <w:noProof/>
                <w:webHidden/>
              </w:rPr>
              <w:fldChar w:fldCharType="separate"/>
            </w:r>
            <w:r>
              <w:rPr>
                <w:noProof/>
                <w:webHidden/>
              </w:rPr>
              <w:t>84</w:t>
            </w:r>
            <w:r>
              <w:rPr>
                <w:noProof/>
                <w:webHidden/>
              </w:rPr>
              <w:fldChar w:fldCharType="end"/>
            </w:r>
          </w:hyperlink>
        </w:p>
        <w:p>
          <w:pPr>
            <w:pStyle w:val="TOC1"/>
            <w:rPr>
              <w:rFonts w:eastAsiaTheme="minorEastAsia"/>
              <w:lang w:val="en-ID" w:eastAsia="en-ID"/>
            </w:rPr>
          </w:pPr>
          <w:hyperlink w:anchor="_Toc118715989" w:history="1">
            <w:r>
              <w:rPr>
                <w:rStyle w:val="Hyperlink"/>
                <w:rFonts w:cstheme="minorHAnsi"/>
              </w:rPr>
              <w:t>BAB V</w:t>
            </w:r>
            <w:r>
              <w:rPr>
                <w:webHidden/>
              </w:rPr>
              <w:tab/>
            </w:r>
            <w:r>
              <w:rPr>
                <w:webHidden/>
              </w:rPr>
              <w:fldChar w:fldCharType="begin"/>
            </w:r>
            <w:r>
              <w:rPr>
                <w:webHidden/>
              </w:rPr>
              <w:instrText xml:space="preserve"> PAGEREF _Toc118715989 \h </w:instrText>
            </w:r>
            <w:r>
              <w:rPr>
                <w:webHidden/>
              </w:rPr>
            </w:r>
            <w:r>
              <w:rPr>
                <w:webHidden/>
              </w:rPr>
              <w:fldChar w:fldCharType="separate"/>
            </w:r>
            <w:r>
              <w:rPr>
                <w:webHidden/>
              </w:rPr>
              <w:t>94</w:t>
            </w:r>
            <w:r>
              <w:rPr>
                <w:webHidden/>
              </w:rPr>
              <w:fldChar w:fldCharType="end"/>
            </w:r>
          </w:hyperlink>
        </w:p>
        <w:p>
          <w:pPr>
            <w:pStyle w:val="TOC2"/>
            <w:rPr>
              <w:rFonts w:eastAsiaTheme="minorEastAsia"/>
              <w:noProof/>
              <w:lang w:val="en-ID" w:eastAsia="en-ID"/>
            </w:rPr>
          </w:pPr>
          <w:hyperlink w:anchor="_Toc118715990" w:history="1">
            <w:r>
              <w:rPr>
                <w:rStyle w:val="Hyperlink"/>
                <w:rFonts w:cstheme="minorHAnsi"/>
                <w:b/>
                <w:bCs/>
                <w:noProof/>
                <w:lang w:val="en-US"/>
              </w:rPr>
              <w:t>5.1</w:t>
            </w:r>
            <w:r>
              <w:rPr>
                <w:rFonts w:eastAsiaTheme="minorEastAsia"/>
                <w:noProof/>
                <w:lang w:val="en-ID" w:eastAsia="en-ID"/>
              </w:rPr>
              <w:tab/>
            </w:r>
            <w:r>
              <w:rPr>
                <w:rStyle w:val="Hyperlink"/>
                <w:rFonts w:cstheme="minorHAnsi"/>
                <w:b/>
                <w:bCs/>
                <w:noProof/>
                <w:lang w:val="en-US"/>
              </w:rPr>
              <w:t>Umur Harapan Hidup</w:t>
            </w:r>
            <w:r>
              <w:rPr>
                <w:noProof/>
                <w:webHidden/>
              </w:rPr>
              <w:tab/>
            </w:r>
            <w:r>
              <w:rPr>
                <w:noProof/>
                <w:webHidden/>
              </w:rPr>
              <w:fldChar w:fldCharType="begin"/>
            </w:r>
            <w:r>
              <w:rPr>
                <w:noProof/>
                <w:webHidden/>
              </w:rPr>
              <w:instrText xml:space="preserve"> PAGEREF _Toc118715990 \h </w:instrText>
            </w:r>
            <w:r>
              <w:rPr>
                <w:noProof/>
                <w:webHidden/>
              </w:rPr>
            </w:r>
            <w:r>
              <w:rPr>
                <w:noProof/>
                <w:webHidden/>
              </w:rPr>
              <w:fldChar w:fldCharType="separate"/>
            </w:r>
            <w:r>
              <w:rPr>
                <w:noProof/>
                <w:webHidden/>
              </w:rPr>
              <w:t>96</w:t>
            </w:r>
            <w:r>
              <w:rPr>
                <w:noProof/>
                <w:webHidden/>
              </w:rPr>
              <w:fldChar w:fldCharType="end"/>
            </w:r>
          </w:hyperlink>
        </w:p>
        <w:p>
          <w:pPr>
            <w:pStyle w:val="TOC2"/>
            <w:rPr>
              <w:rFonts w:eastAsiaTheme="minorEastAsia"/>
              <w:noProof/>
              <w:lang w:val="en-ID" w:eastAsia="en-ID"/>
            </w:rPr>
          </w:pPr>
          <w:hyperlink w:anchor="_Toc118715991" w:history="1">
            <w:r>
              <w:rPr>
                <w:rStyle w:val="Hyperlink"/>
                <w:rFonts w:cstheme="minorHAnsi"/>
                <w:b/>
                <w:bCs/>
                <w:noProof/>
                <w:lang w:val="en-US"/>
              </w:rPr>
              <w:t>5.2</w:t>
            </w:r>
            <w:r>
              <w:rPr>
                <w:rFonts w:eastAsiaTheme="minorEastAsia"/>
                <w:noProof/>
                <w:lang w:val="en-ID" w:eastAsia="en-ID"/>
              </w:rPr>
              <w:tab/>
            </w:r>
            <w:r>
              <w:rPr>
                <w:rStyle w:val="Hyperlink"/>
                <w:rFonts w:cstheme="minorHAnsi"/>
                <w:b/>
                <w:bCs/>
                <w:noProof/>
                <w:lang w:val="en-US"/>
              </w:rPr>
              <w:t>Kematian Ibu Melahirkan</w:t>
            </w:r>
            <w:r>
              <w:rPr>
                <w:noProof/>
                <w:webHidden/>
              </w:rPr>
              <w:tab/>
            </w:r>
            <w:r>
              <w:rPr>
                <w:noProof/>
                <w:webHidden/>
              </w:rPr>
              <w:fldChar w:fldCharType="begin"/>
            </w:r>
            <w:r>
              <w:rPr>
                <w:noProof/>
                <w:webHidden/>
              </w:rPr>
              <w:instrText xml:space="preserve"> PAGEREF _Toc118715991 \h </w:instrText>
            </w:r>
            <w:r>
              <w:rPr>
                <w:noProof/>
                <w:webHidden/>
              </w:rPr>
            </w:r>
            <w:r>
              <w:rPr>
                <w:noProof/>
                <w:webHidden/>
              </w:rPr>
              <w:fldChar w:fldCharType="separate"/>
            </w:r>
            <w:r>
              <w:rPr>
                <w:noProof/>
                <w:webHidden/>
              </w:rPr>
              <w:t>99</w:t>
            </w:r>
            <w:r>
              <w:rPr>
                <w:noProof/>
                <w:webHidden/>
              </w:rPr>
              <w:fldChar w:fldCharType="end"/>
            </w:r>
          </w:hyperlink>
        </w:p>
        <w:p>
          <w:pPr>
            <w:pStyle w:val="TOC2"/>
            <w:rPr>
              <w:rFonts w:eastAsiaTheme="minorEastAsia"/>
              <w:noProof/>
              <w:lang w:val="en-ID" w:eastAsia="en-ID"/>
            </w:rPr>
          </w:pPr>
          <w:hyperlink w:anchor="_Toc118715992" w:history="1">
            <w:r>
              <w:rPr>
                <w:rStyle w:val="Hyperlink"/>
                <w:rFonts w:cstheme="minorHAnsi"/>
                <w:b/>
                <w:bCs/>
                <w:noProof/>
                <w:lang w:val="en-US"/>
              </w:rPr>
              <w:t>5.3</w:t>
            </w:r>
            <w:r>
              <w:rPr>
                <w:rFonts w:eastAsiaTheme="minorEastAsia"/>
                <w:noProof/>
                <w:lang w:val="en-ID" w:eastAsia="en-ID"/>
              </w:rPr>
              <w:tab/>
            </w:r>
            <w:r>
              <w:rPr>
                <w:rStyle w:val="Hyperlink"/>
                <w:rFonts w:cstheme="minorHAnsi"/>
                <w:b/>
                <w:bCs/>
                <w:noProof/>
                <w:lang w:val="en-US"/>
              </w:rPr>
              <w:t>Cakupan Pertolongan Persalinan</w:t>
            </w:r>
            <w:r>
              <w:rPr>
                <w:noProof/>
                <w:webHidden/>
              </w:rPr>
              <w:tab/>
            </w:r>
            <w:r>
              <w:rPr>
                <w:noProof/>
                <w:webHidden/>
              </w:rPr>
              <w:fldChar w:fldCharType="begin"/>
            </w:r>
            <w:r>
              <w:rPr>
                <w:noProof/>
                <w:webHidden/>
              </w:rPr>
              <w:instrText xml:space="preserve"> PAGEREF _Toc118715992 \h </w:instrText>
            </w:r>
            <w:r>
              <w:rPr>
                <w:noProof/>
                <w:webHidden/>
              </w:rPr>
            </w:r>
            <w:r>
              <w:rPr>
                <w:noProof/>
                <w:webHidden/>
              </w:rPr>
              <w:fldChar w:fldCharType="separate"/>
            </w:r>
            <w:r>
              <w:rPr>
                <w:noProof/>
                <w:webHidden/>
              </w:rPr>
              <w:t>106</w:t>
            </w:r>
            <w:r>
              <w:rPr>
                <w:noProof/>
                <w:webHidden/>
              </w:rPr>
              <w:fldChar w:fldCharType="end"/>
            </w:r>
          </w:hyperlink>
        </w:p>
        <w:p>
          <w:pPr>
            <w:pStyle w:val="TOC2"/>
            <w:rPr>
              <w:rFonts w:eastAsiaTheme="minorEastAsia"/>
              <w:noProof/>
              <w:lang w:val="en-ID" w:eastAsia="en-ID"/>
            </w:rPr>
          </w:pPr>
          <w:hyperlink w:anchor="_Toc118715993" w:history="1">
            <w:r>
              <w:rPr>
                <w:rStyle w:val="Hyperlink"/>
                <w:rFonts w:cstheme="minorHAnsi"/>
                <w:b/>
                <w:bCs/>
                <w:noProof/>
                <w:lang w:val="en-US"/>
              </w:rPr>
              <w:t>5.4     Keluarga Berencana</w:t>
            </w:r>
            <w:r>
              <w:rPr>
                <w:noProof/>
                <w:webHidden/>
              </w:rPr>
              <w:tab/>
            </w:r>
            <w:r>
              <w:rPr>
                <w:noProof/>
                <w:webHidden/>
              </w:rPr>
              <w:fldChar w:fldCharType="begin"/>
            </w:r>
            <w:r>
              <w:rPr>
                <w:noProof/>
                <w:webHidden/>
              </w:rPr>
              <w:instrText xml:space="preserve"> PAGEREF _Toc118715993 \h </w:instrText>
            </w:r>
            <w:r>
              <w:rPr>
                <w:noProof/>
                <w:webHidden/>
              </w:rPr>
            </w:r>
            <w:r>
              <w:rPr>
                <w:noProof/>
                <w:webHidden/>
              </w:rPr>
              <w:fldChar w:fldCharType="separate"/>
            </w:r>
            <w:r>
              <w:rPr>
                <w:noProof/>
                <w:webHidden/>
              </w:rPr>
              <w:t>108</w:t>
            </w:r>
            <w:r>
              <w:rPr>
                <w:noProof/>
                <w:webHidden/>
              </w:rPr>
              <w:fldChar w:fldCharType="end"/>
            </w:r>
          </w:hyperlink>
        </w:p>
        <w:p>
          <w:pPr>
            <w:pStyle w:val="TOC2"/>
            <w:rPr>
              <w:rFonts w:eastAsiaTheme="minorEastAsia"/>
              <w:noProof/>
              <w:lang w:val="en-ID" w:eastAsia="en-ID"/>
            </w:rPr>
          </w:pPr>
          <w:hyperlink w:anchor="_Toc118715994" w:history="1">
            <w:r>
              <w:rPr>
                <w:rStyle w:val="Hyperlink"/>
                <w:rFonts w:cstheme="minorHAnsi"/>
                <w:b/>
                <w:bCs/>
                <w:noProof/>
                <w:lang w:val="en-US"/>
              </w:rPr>
              <w:t xml:space="preserve">5.5 </w:t>
            </w:r>
            <w:r>
              <w:rPr>
                <w:rFonts w:eastAsiaTheme="minorEastAsia"/>
                <w:noProof/>
                <w:lang w:val="en-ID" w:eastAsia="en-ID"/>
              </w:rPr>
              <w:t xml:space="preserve">    </w:t>
            </w:r>
            <w:r>
              <w:rPr>
                <w:rStyle w:val="Hyperlink"/>
                <w:rFonts w:cstheme="minorHAnsi"/>
                <w:b/>
                <w:bCs/>
                <w:noProof/>
                <w:lang w:val="en-US"/>
              </w:rPr>
              <w:t>Umur Perkawinan Pertama</w:t>
            </w:r>
            <w:r>
              <w:rPr>
                <w:noProof/>
                <w:webHidden/>
              </w:rPr>
              <w:tab/>
            </w:r>
            <w:r>
              <w:rPr>
                <w:noProof/>
                <w:webHidden/>
              </w:rPr>
              <w:fldChar w:fldCharType="begin"/>
            </w:r>
            <w:r>
              <w:rPr>
                <w:noProof/>
                <w:webHidden/>
              </w:rPr>
              <w:instrText xml:space="preserve"> PAGEREF _Toc118715994 \h </w:instrText>
            </w:r>
            <w:r>
              <w:rPr>
                <w:noProof/>
                <w:webHidden/>
              </w:rPr>
            </w:r>
            <w:r>
              <w:rPr>
                <w:noProof/>
                <w:webHidden/>
              </w:rPr>
              <w:fldChar w:fldCharType="separate"/>
            </w:r>
            <w:r>
              <w:rPr>
                <w:noProof/>
                <w:webHidden/>
              </w:rPr>
              <w:t>111</w:t>
            </w:r>
            <w:r>
              <w:rPr>
                <w:noProof/>
                <w:webHidden/>
              </w:rPr>
              <w:fldChar w:fldCharType="end"/>
            </w:r>
          </w:hyperlink>
        </w:p>
        <w:p>
          <w:pPr>
            <w:pStyle w:val="TOC1"/>
            <w:rPr>
              <w:rFonts w:eastAsiaTheme="minorEastAsia"/>
              <w:lang w:val="en-ID" w:eastAsia="en-ID"/>
            </w:rPr>
          </w:pPr>
          <w:hyperlink w:anchor="_Toc118715995" w:history="1">
            <w:r>
              <w:rPr>
                <w:rStyle w:val="Hyperlink"/>
                <w:rFonts w:cstheme="minorHAnsi"/>
              </w:rPr>
              <w:t>BAB VI</w:t>
            </w:r>
            <w:r>
              <w:rPr>
                <w:webHidden/>
              </w:rPr>
              <w:tab/>
            </w:r>
            <w:r>
              <w:rPr>
                <w:webHidden/>
              </w:rPr>
              <w:fldChar w:fldCharType="begin"/>
            </w:r>
            <w:r>
              <w:rPr>
                <w:webHidden/>
              </w:rPr>
              <w:instrText xml:space="preserve"> PAGEREF _Toc118715995 \h </w:instrText>
            </w:r>
            <w:r>
              <w:rPr>
                <w:webHidden/>
              </w:rPr>
            </w:r>
            <w:r>
              <w:rPr>
                <w:webHidden/>
              </w:rPr>
              <w:fldChar w:fldCharType="separate"/>
            </w:r>
            <w:r>
              <w:rPr>
                <w:webHidden/>
              </w:rPr>
              <w:t>117</w:t>
            </w:r>
            <w:r>
              <w:rPr>
                <w:webHidden/>
              </w:rPr>
              <w:fldChar w:fldCharType="end"/>
            </w:r>
          </w:hyperlink>
        </w:p>
        <w:p>
          <w:pPr>
            <w:pStyle w:val="TOC2"/>
            <w:rPr>
              <w:rFonts w:eastAsiaTheme="minorEastAsia"/>
              <w:noProof/>
              <w:lang w:val="en-ID" w:eastAsia="en-ID"/>
            </w:rPr>
          </w:pPr>
          <w:hyperlink w:anchor="_Toc118715996" w:history="1">
            <w:r>
              <w:rPr>
                <w:rStyle w:val="Hyperlink"/>
                <w:rFonts w:cstheme="minorHAnsi"/>
                <w:b/>
                <w:bCs/>
                <w:noProof/>
                <w:lang w:val="en-US"/>
              </w:rPr>
              <w:t>6.1</w:t>
            </w:r>
            <w:r>
              <w:rPr>
                <w:rFonts w:eastAsiaTheme="minorEastAsia"/>
                <w:noProof/>
                <w:lang w:val="en-ID" w:eastAsia="en-ID"/>
              </w:rPr>
              <w:tab/>
            </w:r>
            <w:r>
              <w:rPr>
                <w:rStyle w:val="Hyperlink"/>
                <w:rFonts w:cstheme="minorHAnsi"/>
                <w:b/>
                <w:bCs/>
                <w:noProof/>
                <w:lang w:val="en-US"/>
              </w:rPr>
              <w:t>Partisipasi di Lembaga Legislatif</w:t>
            </w:r>
            <w:r>
              <w:rPr>
                <w:noProof/>
                <w:webHidden/>
              </w:rPr>
              <w:tab/>
            </w:r>
            <w:r>
              <w:rPr>
                <w:noProof/>
                <w:webHidden/>
              </w:rPr>
              <w:fldChar w:fldCharType="begin"/>
            </w:r>
            <w:r>
              <w:rPr>
                <w:noProof/>
                <w:webHidden/>
              </w:rPr>
              <w:instrText xml:space="preserve"> PAGEREF _Toc118715996 \h </w:instrText>
            </w:r>
            <w:r>
              <w:rPr>
                <w:noProof/>
                <w:webHidden/>
              </w:rPr>
            </w:r>
            <w:r>
              <w:rPr>
                <w:noProof/>
                <w:webHidden/>
              </w:rPr>
              <w:fldChar w:fldCharType="separate"/>
            </w:r>
            <w:r>
              <w:rPr>
                <w:noProof/>
                <w:webHidden/>
              </w:rPr>
              <w:t>117</w:t>
            </w:r>
            <w:r>
              <w:rPr>
                <w:noProof/>
                <w:webHidden/>
              </w:rPr>
              <w:fldChar w:fldCharType="end"/>
            </w:r>
          </w:hyperlink>
        </w:p>
        <w:p>
          <w:pPr>
            <w:pStyle w:val="TOC2"/>
            <w:rPr>
              <w:rFonts w:eastAsiaTheme="minorEastAsia"/>
              <w:noProof/>
              <w:lang w:val="en-ID" w:eastAsia="en-ID"/>
            </w:rPr>
          </w:pPr>
          <w:hyperlink w:anchor="_Toc118715997" w:history="1">
            <w:r>
              <w:rPr>
                <w:rStyle w:val="Hyperlink"/>
                <w:rFonts w:cstheme="minorHAnsi"/>
                <w:b/>
                <w:bCs/>
                <w:noProof/>
                <w:lang w:val="en-US"/>
              </w:rPr>
              <w:t>6.2</w:t>
            </w:r>
            <w:r>
              <w:rPr>
                <w:rFonts w:eastAsiaTheme="minorEastAsia"/>
                <w:noProof/>
                <w:lang w:val="en-ID" w:eastAsia="en-ID"/>
              </w:rPr>
              <w:tab/>
            </w:r>
            <w:r>
              <w:rPr>
                <w:rStyle w:val="Hyperlink"/>
                <w:rFonts w:cstheme="minorHAnsi"/>
                <w:b/>
                <w:bCs/>
                <w:noProof/>
                <w:lang w:val="en-US"/>
              </w:rPr>
              <w:t>Partisipasi di Lembaga Yudikatif</w:t>
            </w:r>
            <w:r>
              <w:rPr>
                <w:noProof/>
                <w:webHidden/>
              </w:rPr>
              <w:tab/>
            </w:r>
            <w:r>
              <w:rPr>
                <w:noProof/>
                <w:webHidden/>
              </w:rPr>
              <w:fldChar w:fldCharType="begin"/>
            </w:r>
            <w:r>
              <w:rPr>
                <w:noProof/>
                <w:webHidden/>
              </w:rPr>
              <w:instrText xml:space="preserve"> PAGEREF _Toc118715997 \h </w:instrText>
            </w:r>
            <w:r>
              <w:rPr>
                <w:noProof/>
                <w:webHidden/>
              </w:rPr>
            </w:r>
            <w:r>
              <w:rPr>
                <w:noProof/>
                <w:webHidden/>
              </w:rPr>
              <w:fldChar w:fldCharType="separate"/>
            </w:r>
            <w:r>
              <w:rPr>
                <w:noProof/>
                <w:webHidden/>
              </w:rPr>
              <w:t>122</w:t>
            </w:r>
            <w:r>
              <w:rPr>
                <w:noProof/>
                <w:webHidden/>
              </w:rPr>
              <w:fldChar w:fldCharType="end"/>
            </w:r>
          </w:hyperlink>
        </w:p>
        <w:p>
          <w:pPr>
            <w:pStyle w:val="TOC2"/>
            <w:rPr>
              <w:rFonts w:eastAsiaTheme="minorEastAsia"/>
              <w:noProof/>
              <w:lang w:val="en-ID" w:eastAsia="en-ID"/>
            </w:rPr>
          </w:pPr>
          <w:hyperlink w:anchor="_Toc118715998" w:history="1">
            <w:r>
              <w:rPr>
                <w:rStyle w:val="Hyperlink"/>
                <w:b/>
                <w:bCs/>
                <w:noProof/>
                <w:lang w:val="en-US"/>
              </w:rPr>
              <w:t>6.3 Partisipasi di Lembaga EKsekutif</w:t>
            </w:r>
            <w:r>
              <w:rPr>
                <w:noProof/>
                <w:webHidden/>
              </w:rPr>
              <w:tab/>
            </w:r>
            <w:r>
              <w:rPr>
                <w:noProof/>
                <w:webHidden/>
              </w:rPr>
              <w:fldChar w:fldCharType="begin"/>
            </w:r>
            <w:r>
              <w:rPr>
                <w:noProof/>
                <w:webHidden/>
              </w:rPr>
              <w:instrText xml:space="preserve"> PAGEREF _Toc118715998 \h </w:instrText>
            </w:r>
            <w:r>
              <w:rPr>
                <w:noProof/>
                <w:webHidden/>
              </w:rPr>
            </w:r>
            <w:r>
              <w:rPr>
                <w:noProof/>
                <w:webHidden/>
              </w:rPr>
              <w:fldChar w:fldCharType="separate"/>
            </w:r>
            <w:r>
              <w:rPr>
                <w:noProof/>
                <w:webHidden/>
              </w:rPr>
              <w:t>125</w:t>
            </w:r>
            <w:r>
              <w:rPr>
                <w:noProof/>
                <w:webHidden/>
              </w:rPr>
              <w:fldChar w:fldCharType="end"/>
            </w:r>
          </w:hyperlink>
        </w:p>
        <w:p>
          <w:pPr>
            <w:pStyle w:val="TOC1"/>
            <w:rPr>
              <w:rFonts w:eastAsiaTheme="minorEastAsia"/>
              <w:lang w:val="en-ID" w:eastAsia="en-ID"/>
            </w:rPr>
          </w:pPr>
          <w:hyperlink w:anchor="_Toc118715999" w:history="1">
            <w:r>
              <w:rPr>
                <w:rStyle w:val="Hyperlink"/>
                <w:rFonts w:cstheme="minorHAnsi"/>
              </w:rPr>
              <w:t>BAB VII</w:t>
            </w:r>
            <w:r>
              <w:rPr>
                <w:webHidden/>
              </w:rPr>
              <w:tab/>
            </w:r>
            <w:r>
              <w:rPr>
                <w:webHidden/>
              </w:rPr>
              <w:fldChar w:fldCharType="begin"/>
            </w:r>
            <w:r>
              <w:rPr>
                <w:webHidden/>
              </w:rPr>
              <w:instrText xml:space="preserve"> PAGEREF _Toc118715999 \h </w:instrText>
            </w:r>
            <w:r>
              <w:rPr>
                <w:webHidden/>
              </w:rPr>
            </w:r>
            <w:r>
              <w:rPr>
                <w:webHidden/>
              </w:rPr>
              <w:fldChar w:fldCharType="separate"/>
            </w:r>
            <w:r>
              <w:rPr>
                <w:webHidden/>
              </w:rPr>
              <w:t>132</w:t>
            </w:r>
            <w:r>
              <w:rPr>
                <w:webHidden/>
              </w:rPr>
              <w:fldChar w:fldCharType="end"/>
            </w:r>
          </w:hyperlink>
        </w:p>
        <w:p>
          <w:pPr>
            <w:pStyle w:val="TOC2"/>
            <w:rPr>
              <w:rFonts w:eastAsiaTheme="minorEastAsia"/>
              <w:noProof/>
              <w:lang w:val="en-ID" w:eastAsia="en-ID"/>
            </w:rPr>
          </w:pPr>
          <w:hyperlink w:anchor="_Toc118716000" w:history="1">
            <w:r>
              <w:rPr>
                <w:rStyle w:val="Hyperlink"/>
                <w:rFonts w:cstheme="minorHAnsi"/>
                <w:b/>
                <w:bCs/>
                <w:noProof/>
                <w:lang w:val="en-US"/>
              </w:rPr>
              <w:t>7.1</w:t>
            </w:r>
            <w:r>
              <w:rPr>
                <w:rFonts w:eastAsiaTheme="minorEastAsia"/>
                <w:noProof/>
                <w:lang w:val="en-ID" w:eastAsia="en-ID"/>
              </w:rPr>
              <w:tab/>
            </w:r>
            <w:r>
              <w:rPr>
                <w:rStyle w:val="Hyperlink"/>
                <w:b/>
                <w:bCs/>
                <w:noProof/>
              </w:rPr>
              <w:t>Komposisi Penduduk Usia Kerja</w:t>
            </w:r>
            <w:r>
              <w:rPr>
                <w:noProof/>
                <w:webHidden/>
              </w:rPr>
              <w:tab/>
            </w:r>
            <w:r>
              <w:rPr>
                <w:noProof/>
                <w:webHidden/>
              </w:rPr>
              <w:fldChar w:fldCharType="begin"/>
            </w:r>
            <w:r>
              <w:rPr>
                <w:noProof/>
                <w:webHidden/>
              </w:rPr>
              <w:instrText xml:space="preserve"> PAGEREF _Toc118716000 \h </w:instrText>
            </w:r>
            <w:r>
              <w:rPr>
                <w:noProof/>
                <w:webHidden/>
              </w:rPr>
            </w:r>
            <w:r>
              <w:rPr>
                <w:noProof/>
                <w:webHidden/>
              </w:rPr>
              <w:fldChar w:fldCharType="separate"/>
            </w:r>
            <w:r>
              <w:rPr>
                <w:noProof/>
                <w:webHidden/>
              </w:rPr>
              <w:t>134</w:t>
            </w:r>
            <w:r>
              <w:rPr>
                <w:noProof/>
                <w:webHidden/>
              </w:rPr>
              <w:fldChar w:fldCharType="end"/>
            </w:r>
          </w:hyperlink>
        </w:p>
        <w:p>
          <w:pPr>
            <w:pStyle w:val="TOC2"/>
            <w:rPr>
              <w:rFonts w:eastAsiaTheme="minorEastAsia"/>
              <w:noProof/>
              <w:lang w:val="en-ID" w:eastAsia="en-ID"/>
            </w:rPr>
          </w:pPr>
          <w:hyperlink w:anchor="_Toc118716001" w:history="1">
            <w:r>
              <w:rPr>
                <w:rStyle w:val="Hyperlink"/>
                <w:rFonts w:cstheme="minorHAnsi"/>
                <w:b/>
                <w:bCs/>
                <w:noProof/>
                <w:lang w:val="en-US"/>
              </w:rPr>
              <w:t>7.2</w:t>
            </w:r>
            <w:r>
              <w:rPr>
                <w:rFonts w:eastAsiaTheme="minorEastAsia"/>
                <w:noProof/>
                <w:lang w:val="en-ID" w:eastAsia="en-ID"/>
              </w:rPr>
              <w:tab/>
            </w:r>
            <w:r>
              <w:rPr>
                <w:rStyle w:val="Hyperlink"/>
                <w:rFonts w:cstheme="minorHAnsi"/>
                <w:b/>
                <w:bCs/>
                <w:noProof/>
              </w:rPr>
              <w:t>Tingkat Partisipasi Angkatan Kerja (TPAK)</w:t>
            </w:r>
            <w:r>
              <w:rPr>
                <w:noProof/>
                <w:webHidden/>
              </w:rPr>
              <w:tab/>
            </w:r>
            <w:r>
              <w:rPr>
                <w:noProof/>
                <w:webHidden/>
              </w:rPr>
              <w:fldChar w:fldCharType="begin"/>
            </w:r>
            <w:r>
              <w:rPr>
                <w:noProof/>
                <w:webHidden/>
              </w:rPr>
              <w:instrText xml:space="preserve"> PAGEREF _Toc118716001 \h </w:instrText>
            </w:r>
            <w:r>
              <w:rPr>
                <w:noProof/>
                <w:webHidden/>
              </w:rPr>
            </w:r>
            <w:r>
              <w:rPr>
                <w:noProof/>
                <w:webHidden/>
              </w:rPr>
              <w:fldChar w:fldCharType="separate"/>
            </w:r>
            <w:r>
              <w:rPr>
                <w:noProof/>
                <w:webHidden/>
              </w:rPr>
              <w:t>137</w:t>
            </w:r>
            <w:r>
              <w:rPr>
                <w:noProof/>
                <w:webHidden/>
              </w:rPr>
              <w:fldChar w:fldCharType="end"/>
            </w:r>
          </w:hyperlink>
        </w:p>
        <w:p>
          <w:pPr>
            <w:pStyle w:val="TOC2"/>
            <w:rPr>
              <w:rFonts w:eastAsiaTheme="minorEastAsia"/>
              <w:noProof/>
              <w:lang w:val="en-ID" w:eastAsia="en-ID"/>
            </w:rPr>
          </w:pPr>
          <w:hyperlink w:anchor="_Toc118716002" w:history="1">
            <w:r>
              <w:rPr>
                <w:rStyle w:val="Hyperlink"/>
                <w:rFonts w:cstheme="minorHAnsi"/>
                <w:b/>
                <w:bCs/>
                <w:noProof/>
                <w:lang w:val="en-US"/>
              </w:rPr>
              <w:t>7.3</w:t>
            </w:r>
            <w:r>
              <w:rPr>
                <w:rFonts w:eastAsiaTheme="minorEastAsia"/>
                <w:noProof/>
                <w:lang w:val="en-ID" w:eastAsia="en-ID"/>
              </w:rPr>
              <w:tab/>
            </w:r>
            <w:r>
              <w:rPr>
                <w:rStyle w:val="Hyperlink"/>
                <w:rFonts w:cstheme="minorHAnsi"/>
                <w:b/>
                <w:bCs/>
                <w:noProof/>
                <w:lang w:val="en-US"/>
              </w:rPr>
              <w:t>Pekerja Sektor Formal</w:t>
            </w:r>
            <w:r>
              <w:rPr>
                <w:noProof/>
                <w:webHidden/>
              </w:rPr>
              <w:tab/>
            </w:r>
            <w:r>
              <w:rPr>
                <w:noProof/>
                <w:webHidden/>
              </w:rPr>
              <w:fldChar w:fldCharType="begin"/>
            </w:r>
            <w:r>
              <w:rPr>
                <w:noProof/>
                <w:webHidden/>
              </w:rPr>
              <w:instrText xml:space="preserve"> PAGEREF _Toc118716002 \h </w:instrText>
            </w:r>
            <w:r>
              <w:rPr>
                <w:noProof/>
                <w:webHidden/>
              </w:rPr>
            </w:r>
            <w:r>
              <w:rPr>
                <w:noProof/>
                <w:webHidden/>
              </w:rPr>
              <w:fldChar w:fldCharType="separate"/>
            </w:r>
            <w:r>
              <w:rPr>
                <w:noProof/>
                <w:webHidden/>
              </w:rPr>
              <w:t>141</w:t>
            </w:r>
            <w:r>
              <w:rPr>
                <w:noProof/>
                <w:webHidden/>
              </w:rPr>
              <w:fldChar w:fldCharType="end"/>
            </w:r>
          </w:hyperlink>
        </w:p>
        <w:p>
          <w:pPr>
            <w:pStyle w:val="TOC2"/>
            <w:rPr>
              <w:rFonts w:eastAsiaTheme="minorEastAsia"/>
              <w:noProof/>
              <w:lang w:val="en-ID" w:eastAsia="en-ID"/>
            </w:rPr>
          </w:pPr>
          <w:hyperlink w:anchor="_Toc118716003" w:history="1">
            <w:r>
              <w:rPr>
                <w:rStyle w:val="Hyperlink"/>
                <w:rFonts w:cstheme="minorHAnsi"/>
                <w:b/>
                <w:bCs/>
                <w:noProof/>
                <w:lang w:val="en-US"/>
              </w:rPr>
              <w:t>7.4</w:t>
            </w:r>
            <w:r>
              <w:rPr>
                <w:rFonts w:eastAsiaTheme="minorEastAsia"/>
                <w:noProof/>
                <w:lang w:val="en-ID" w:eastAsia="en-ID"/>
              </w:rPr>
              <w:tab/>
            </w:r>
            <w:r>
              <w:rPr>
                <w:rStyle w:val="Hyperlink"/>
                <w:rFonts w:cstheme="minorHAnsi"/>
                <w:b/>
                <w:bCs/>
                <w:noProof/>
                <w:lang w:val="en-US"/>
              </w:rPr>
              <w:t>Pekerja Di Sektor Informal</w:t>
            </w:r>
            <w:r>
              <w:rPr>
                <w:noProof/>
                <w:webHidden/>
              </w:rPr>
              <w:tab/>
            </w:r>
            <w:r>
              <w:rPr>
                <w:noProof/>
                <w:webHidden/>
              </w:rPr>
              <w:fldChar w:fldCharType="begin"/>
            </w:r>
            <w:r>
              <w:rPr>
                <w:noProof/>
                <w:webHidden/>
              </w:rPr>
              <w:instrText xml:space="preserve"> PAGEREF _Toc118716003 \h </w:instrText>
            </w:r>
            <w:r>
              <w:rPr>
                <w:noProof/>
                <w:webHidden/>
              </w:rPr>
            </w:r>
            <w:r>
              <w:rPr>
                <w:noProof/>
                <w:webHidden/>
              </w:rPr>
              <w:fldChar w:fldCharType="separate"/>
            </w:r>
            <w:r>
              <w:rPr>
                <w:noProof/>
                <w:webHidden/>
              </w:rPr>
              <w:t>144</w:t>
            </w:r>
            <w:r>
              <w:rPr>
                <w:noProof/>
                <w:webHidden/>
              </w:rPr>
              <w:fldChar w:fldCharType="end"/>
            </w:r>
          </w:hyperlink>
        </w:p>
        <w:p>
          <w:pPr>
            <w:pStyle w:val="TOC2"/>
            <w:rPr>
              <w:rFonts w:eastAsiaTheme="minorEastAsia"/>
              <w:noProof/>
              <w:lang w:val="en-ID" w:eastAsia="en-ID"/>
            </w:rPr>
          </w:pPr>
          <w:hyperlink w:anchor="_Toc118716004" w:history="1">
            <w:r>
              <w:rPr>
                <w:rStyle w:val="Hyperlink"/>
                <w:rFonts w:cstheme="minorHAnsi"/>
                <w:b/>
                <w:bCs/>
                <w:noProof/>
                <w:lang w:val="en-US"/>
              </w:rPr>
              <w:t>7.5</w:t>
            </w:r>
            <w:r>
              <w:rPr>
                <w:rFonts w:eastAsiaTheme="minorEastAsia"/>
                <w:noProof/>
                <w:lang w:val="en-ID" w:eastAsia="en-ID"/>
              </w:rPr>
              <w:tab/>
            </w:r>
            <w:r>
              <w:rPr>
                <w:rStyle w:val="Hyperlink"/>
                <w:b/>
                <w:bCs/>
                <w:noProof/>
                <w:lang w:val="en-US"/>
              </w:rPr>
              <w:t>Pekerja Tak Dibayar</w:t>
            </w:r>
            <w:r>
              <w:rPr>
                <w:noProof/>
                <w:webHidden/>
              </w:rPr>
              <w:tab/>
            </w:r>
            <w:r>
              <w:rPr>
                <w:noProof/>
                <w:webHidden/>
              </w:rPr>
              <w:fldChar w:fldCharType="begin"/>
            </w:r>
            <w:r>
              <w:rPr>
                <w:noProof/>
                <w:webHidden/>
              </w:rPr>
              <w:instrText xml:space="preserve"> PAGEREF _Toc118716004 \h </w:instrText>
            </w:r>
            <w:r>
              <w:rPr>
                <w:noProof/>
                <w:webHidden/>
              </w:rPr>
            </w:r>
            <w:r>
              <w:rPr>
                <w:noProof/>
                <w:webHidden/>
              </w:rPr>
              <w:fldChar w:fldCharType="separate"/>
            </w:r>
            <w:r>
              <w:rPr>
                <w:noProof/>
                <w:webHidden/>
              </w:rPr>
              <w:t>146</w:t>
            </w:r>
            <w:r>
              <w:rPr>
                <w:noProof/>
                <w:webHidden/>
              </w:rPr>
              <w:fldChar w:fldCharType="end"/>
            </w:r>
          </w:hyperlink>
        </w:p>
        <w:p>
          <w:pPr>
            <w:pStyle w:val="TOC2"/>
            <w:rPr>
              <w:rFonts w:eastAsiaTheme="minorEastAsia"/>
              <w:noProof/>
              <w:lang w:val="en-ID" w:eastAsia="en-ID"/>
            </w:rPr>
          </w:pPr>
          <w:hyperlink w:anchor="_Toc118716005" w:history="1">
            <w:r>
              <w:rPr>
                <w:rStyle w:val="Hyperlink"/>
                <w:rFonts w:cstheme="minorHAnsi"/>
                <w:b/>
                <w:bCs/>
                <w:noProof/>
                <w:lang w:val="en-US"/>
              </w:rPr>
              <w:t>7.6</w:t>
            </w:r>
            <w:r>
              <w:rPr>
                <w:rFonts w:eastAsiaTheme="minorEastAsia"/>
                <w:noProof/>
                <w:lang w:val="en-ID" w:eastAsia="en-ID"/>
              </w:rPr>
              <w:tab/>
            </w:r>
            <w:r>
              <w:rPr>
                <w:rStyle w:val="Hyperlink"/>
                <w:b/>
                <w:bCs/>
                <w:noProof/>
              </w:rPr>
              <w:t>Perempuan Pekerja Profesional dan Kepemimpinan</w:t>
            </w:r>
            <w:r>
              <w:rPr>
                <w:noProof/>
                <w:webHidden/>
              </w:rPr>
              <w:tab/>
            </w:r>
            <w:r>
              <w:rPr>
                <w:noProof/>
                <w:webHidden/>
              </w:rPr>
              <w:fldChar w:fldCharType="begin"/>
            </w:r>
            <w:r>
              <w:rPr>
                <w:noProof/>
                <w:webHidden/>
              </w:rPr>
              <w:instrText xml:space="preserve"> PAGEREF _Toc118716005 \h </w:instrText>
            </w:r>
            <w:r>
              <w:rPr>
                <w:noProof/>
                <w:webHidden/>
              </w:rPr>
            </w:r>
            <w:r>
              <w:rPr>
                <w:noProof/>
                <w:webHidden/>
              </w:rPr>
              <w:fldChar w:fldCharType="separate"/>
            </w:r>
            <w:r>
              <w:rPr>
                <w:noProof/>
                <w:webHidden/>
              </w:rPr>
              <w:t>150</w:t>
            </w:r>
            <w:r>
              <w:rPr>
                <w:noProof/>
                <w:webHidden/>
              </w:rPr>
              <w:fldChar w:fldCharType="end"/>
            </w:r>
          </w:hyperlink>
        </w:p>
        <w:p>
          <w:pPr>
            <w:pStyle w:val="TOC2"/>
            <w:rPr>
              <w:rFonts w:eastAsiaTheme="minorEastAsia"/>
              <w:noProof/>
              <w:lang w:val="en-ID" w:eastAsia="en-ID"/>
            </w:rPr>
          </w:pPr>
          <w:hyperlink w:anchor="_Toc118716006" w:history="1">
            <w:r>
              <w:rPr>
                <w:rStyle w:val="Hyperlink"/>
                <w:rFonts w:cstheme="minorHAnsi"/>
                <w:b/>
                <w:bCs/>
                <w:noProof/>
                <w:lang w:val="en-US"/>
              </w:rPr>
              <w:t>7.7</w:t>
            </w:r>
            <w:r>
              <w:rPr>
                <w:rFonts w:eastAsiaTheme="minorEastAsia"/>
                <w:noProof/>
                <w:lang w:val="en-ID" w:eastAsia="en-ID"/>
              </w:rPr>
              <w:tab/>
            </w:r>
            <w:r>
              <w:rPr>
                <w:rStyle w:val="Hyperlink"/>
                <w:rFonts w:cstheme="minorHAnsi"/>
                <w:b/>
                <w:bCs/>
                <w:noProof/>
                <w:lang w:val="en-US"/>
              </w:rPr>
              <w:t>Pengangguran</w:t>
            </w:r>
            <w:r>
              <w:rPr>
                <w:noProof/>
                <w:webHidden/>
              </w:rPr>
              <w:tab/>
            </w:r>
            <w:r>
              <w:rPr>
                <w:noProof/>
                <w:webHidden/>
              </w:rPr>
              <w:fldChar w:fldCharType="begin"/>
            </w:r>
            <w:r>
              <w:rPr>
                <w:noProof/>
                <w:webHidden/>
              </w:rPr>
              <w:instrText xml:space="preserve"> PAGEREF _Toc118716006 \h </w:instrText>
            </w:r>
            <w:r>
              <w:rPr>
                <w:noProof/>
                <w:webHidden/>
              </w:rPr>
            </w:r>
            <w:r>
              <w:rPr>
                <w:noProof/>
                <w:webHidden/>
              </w:rPr>
              <w:fldChar w:fldCharType="separate"/>
            </w:r>
            <w:r>
              <w:rPr>
                <w:noProof/>
                <w:webHidden/>
              </w:rPr>
              <w:t>153</w:t>
            </w:r>
            <w:r>
              <w:rPr>
                <w:noProof/>
                <w:webHidden/>
              </w:rPr>
              <w:fldChar w:fldCharType="end"/>
            </w:r>
          </w:hyperlink>
        </w:p>
        <w:p>
          <w:pPr>
            <w:pStyle w:val="TOC2"/>
            <w:rPr>
              <w:rFonts w:eastAsiaTheme="minorEastAsia"/>
              <w:noProof/>
              <w:lang w:val="en-ID" w:eastAsia="en-ID"/>
            </w:rPr>
          </w:pPr>
          <w:hyperlink w:anchor="_Toc118716007" w:history="1">
            <w:r>
              <w:rPr>
                <w:rStyle w:val="Hyperlink"/>
                <w:rFonts w:cstheme="minorHAnsi"/>
                <w:b/>
                <w:bCs/>
                <w:noProof/>
                <w:lang w:val="en-US"/>
              </w:rPr>
              <w:t>7.8</w:t>
            </w:r>
            <w:r>
              <w:rPr>
                <w:rFonts w:eastAsiaTheme="minorEastAsia"/>
                <w:noProof/>
                <w:lang w:val="en-ID" w:eastAsia="en-ID"/>
              </w:rPr>
              <w:tab/>
            </w:r>
            <w:r>
              <w:rPr>
                <w:rStyle w:val="Hyperlink"/>
                <w:rFonts w:cstheme="minorHAnsi"/>
                <w:b/>
                <w:bCs/>
                <w:noProof/>
              </w:rPr>
              <w:t>Kontribusi Sektor Dalam Penyerapan Tenaga</w:t>
            </w:r>
            <w:r>
              <w:rPr>
                <w:rStyle w:val="Hyperlink"/>
                <w:rFonts w:cstheme="minorHAnsi"/>
                <w:b/>
                <w:bCs/>
                <w:noProof/>
                <w:lang w:val="en-US"/>
              </w:rPr>
              <w:t xml:space="preserve"> Kerja</w:t>
            </w:r>
            <w:r>
              <w:rPr>
                <w:noProof/>
                <w:webHidden/>
              </w:rPr>
              <w:tab/>
            </w:r>
            <w:r>
              <w:rPr>
                <w:noProof/>
                <w:webHidden/>
              </w:rPr>
              <w:fldChar w:fldCharType="begin"/>
            </w:r>
            <w:r>
              <w:rPr>
                <w:noProof/>
                <w:webHidden/>
              </w:rPr>
              <w:instrText xml:space="preserve"> PAGEREF _Toc118716007 \h </w:instrText>
            </w:r>
            <w:r>
              <w:rPr>
                <w:noProof/>
                <w:webHidden/>
              </w:rPr>
            </w:r>
            <w:r>
              <w:rPr>
                <w:noProof/>
                <w:webHidden/>
              </w:rPr>
              <w:fldChar w:fldCharType="separate"/>
            </w:r>
            <w:r>
              <w:rPr>
                <w:noProof/>
                <w:webHidden/>
              </w:rPr>
              <w:t>158</w:t>
            </w:r>
            <w:r>
              <w:rPr>
                <w:noProof/>
                <w:webHidden/>
              </w:rPr>
              <w:fldChar w:fldCharType="end"/>
            </w:r>
          </w:hyperlink>
        </w:p>
        <w:p>
          <w:pPr>
            <w:pStyle w:val="TOC1"/>
            <w:rPr>
              <w:rFonts w:eastAsiaTheme="minorEastAsia"/>
              <w:lang w:val="en-ID" w:eastAsia="en-ID"/>
            </w:rPr>
          </w:pPr>
          <w:hyperlink w:anchor="_Toc118716008" w:history="1">
            <w:r>
              <w:rPr>
                <w:rStyle w:val="Hyperlink"/>
                <w:rFonts w:cstheme="minorHAnsi"/>
              </w:rPr>
              <w:t>BAB VIII</w:t>
            </w:r>
            <w:r>
              <w:rPr>
                <w:webHidden/>
              </w:rPr>
              <w:tab/>
            </w:r>
            <w:r>
              <w:rPr>
                <w:webHidden/>
              </w:rPr>
              <w:fldChar w:fldCharType="begin"/>
            </w:r>
            <w:r>
              <w:rPr>
                <w:webHidden/>
              </w:rPr>
              <w:instrText xml:space="preserve"> PAGEREF _Toc118716008 \h </w:instrText>
            </w:r>
            <w:r>
              <w:rPr>
                <w:webHidden/>
              </w:rPr>
            </w:r>
            <w:r>
              <w:rPr>
                <w:webHidden/>
              </w:rPr>
              <w:fldChar w:fldCharType="separate"/>
            </w:r>
            <w:r>
              <w:rPr>
                <w:webHidden/>
              </w:rPr>
              <w:t>163</w:t>
            </w:r>
            <w:r>
              <w:rPr>
                <w:webHidden/>
              </w:rPr>
              <w:fldChar w:fldCharType="end"/>
            </w:r>
          </w:hyperlink>
        </w:p>
        <w:p>
          <w:pPr>
            <w:pStyle w:val="TOC2"/>
            <w:rPr>
              <w:rFonts w:eastAsiaTheme="minorEastAsia"/>
              <w:noProof/>
              <w:lang w:val="en-ID" w:eastAsia="en-ID"/>
            </w:rPr>
          </w:pPr>
          <w:hyperlink w:anchor="_Toc118716009" w:history="1">
            <w:r>
              <w:rPr>
                <w:rStyle w:val="Hyperlink"/>
                <w:rFonts w:cstheme="minorHAnsi"/>
                <w:b/>
                <w:bCs/>
                <w:noProof/>
                <w:lang w:val="en-US"/>
              </w:rPr>
              <w:t>8.1</w:t>
            </w:r>
            <w:r>
              <w:rPr>
                <w:rFonts w:eastAsiaTheme="minorEastAsia"/>
                <w:noProof/>
                <w:lang w:val="en-ID" w:eastAsia="en-ID"/>
              </w:rPr>
              <w:tab/>
            </w:r>
            <w:r>
              <w:rPr>
                <w:rStyle w:val="Hyperlink"/>
                <w:rFonts w:cstheme="minorHAnsi"/>
                <w:b/>
                <w:bCs/>
                <w:noProof/>
              </w:rPr>
              <w:t>Perkembangan Pemberdayaan Gender</w:t>
            </w:r>
            <w:r>
              <w:rPr>
                <w:noProof/>
                <w:webHidden/>
              </w:rPr>
              <w:tab/>
            </w:r>
            <w:r>
              <w:rPr>
                <w:noProof/>
                <w:webHidden/>
              </w:rPr>
              <w:fldChar w:fldCharType="begin"/>
            </w:r>
            <w:r>
              <w:rPr>
                <w:noProof/>
                <w:webHidden/>
              </w:rPr>
              <w:instrText xml:space="preserve"> PAGEREF _Toc118716009 \h </w:instrText>
            </w:r>
            <w:r>
              <w:rPr>
                <w:noProof/>
                <w:webHidden/>
              </w:rPr>
            </w:r>
            <w:r>
              <w:rPr>
                <w:noProof/>
                <w:webHidden/>
              </w:rPr>
              <w:fldChar w:fldCharType="separate"/>
            </w:r>
            <w:r>
              <w:rPr>
                <w:noProof/>
                <w:webHidden/>
              </w:rPr>
              <w:t>165</w:t>
            </w:r>
            <w:r>
              <w:rPr>
                <w:noProof/>
                <w:webHidden/>
              </w:rPr>
              <w:fldChar w:fldCharType="end"/>
            </w:r>
          </w:hyperlink>
        </w:p>
        <w:p>
          <w:pPr>
            <w:pStyle w:val="TOC2"/>
            <w:rPr>
              <w:rFonts w:eastAsiaTheme="minorEastAsia"/>
              <w:noProof/>
              <w:lang w:val="en-ID" w:eastAsia="en-ID"/>
            </w:rPr>
          </w:pPr>
          <w:hyperlink w:anchor="_Toc118716010" w:history="1">
            <w:r>
              <w:rPr>
                <w:rStyle w:val="Hyperlink"/>
                <w:rFonts w:cstheme="minorHAnsi"/>
                <w:b/>
                <w:bCs/>
                <w:noProof/>
                <w:lang w:val="en-US"/>
              </w:rPr>
              <w:t xml:space="preserve">8.2 </w:t>
            </w:r>
            <w:r>
              <w:rPr>
                <w:rFonts w:eastAsiaTheme="minorEastAsia"/>
                <w:noProof/>
                <w:lang w:val="en-ID" w:eastAsia="en-ID"/>
              </w:rPr>
              <w:tab/>
            </w:r>
            <w:r>
              <w:rPr>
                <w:rStyle w:val="Hyperlink"/>
                <w:rFonts w:cstheme="minorHAnsi"/>
                <w:b/>
                <w:bCs/>
                <w:noProof/>
                <w:lang w:val="en-US"/>
              </w:rPr>
              <w:t>Pencapaian Komponen IDG</w:t>
            </w:r>
            <w:r>
              <w:rPr>
                <w:noProof/>
                <w:webHidden/>
              </w:rPr>
              <w:tab/>
            </w:r>
            <w:r>
              <w:rPr>
                <w:noProof/>
                <w:webHidden/>
              </w:rPr>
              <w:fldChar w:fldCharType="begin"/>
            </w:r>
            <w:r>
              <w:rPr>
                <w:noProof/>
                <w:webHidden/>
              </w:rPr>
              <w:instrText xml:space="preserve"> PAGEREF _Toc118716010 \h </w:instrText>
            </w:r>
            <w:r>
              <w:rPr>
                <w:noProof/>
                <w:webHidden/>
              </w:rPr>
            </w:r>
            <w:r>
              <w:rPr>
                <w:noProof/>
                <w:webHidden/>
              </w:rPr>
              <w:fldChar w:fldCharType="separate"/>
            </w:r>
            <w:r>
              <w:rPr>
                <w:noProof/>
                <w:webHidden/>
              </w:rPr>
              <w:t>167</w:t>
            </w:r>
            <w:r>
              <w:rPr>
                <w:noProof/>
                <w:webHidden/>
              </w:rPr>
              <w:fldChar w:fldCharType="end"/>
            </w:r>
          </w:hyperlink>
        </w:p>
        <w:p>
          <w:pPr>
            <w:pStyle w:val="TOC3"/>
            <w:rPr>
              <w:rFonts w:eastAsiaTheme="minorEastAsia"/>
              <w:noProof/>
              <w:lang w:val="en-ID" w:eastAsia="en-ID"/>
            </w:rPr>
          </w:pPr>
          <w:hyperlink w:anchor="_Toc118716011" w:history="1">
            <w:r>
              <w:rPr>
                <w:rStyle w:val="Hyperlink"/>
                <w:rFonts w:cstheme="minorHAnsi"/>
                <w:b/>
                <w:bCs/>
                <w:noProof/>
                <w:lang w:val="en-US"/>
              </w:rPr>
              <w:t>8.2.1</w:t>
            </w:r>
            <w:r>
              <w:rPr>
                <w:rFonts w:eastAsiaTheme="minorEastAsia"/>
                <w:noProof/>
                <w:lang w:val="en-ID" w:eastAsia="en-ID"/>
              </w:rPr>
              <w:tab/>
            </w:r>
            <w:r>
              <w:rPr>
                <w:rStyle w:val="Hyperlink"/>
                <w:rFonts w:cstheme="minorHAnsi"/>
                <w:b/>
                <w:bCs/>
                <w:noProof/>
              </w:rPr>
              <w:t>Keterwakilan Perempuan di Parlemen</w:t>
            </w:r>
            <w:r>
              <w:rPr>
                <w:noProof/>
                <w:webHidden/>
              </w:rPr>
              <w:tab/>
            </w:r>
            <w:r>
              <w:rPr>
                <w:noProof/>
                <w:webHidden/>
              </w:rPr>
              <w:fldChar w:fldCharType="begin"/>
            </w:r>
            <w:r>
              <w:rPr>
                <w:noProof/>
                <w:webHidden/>
              </w:rPr>
              <w:instrText xml:space="preserve"> PAGEREF _Toc118716011 \h </w:instrText>
            </w:r>
            <w:r>
              <w:rPr>
                <w:noProof/>
                <w:webHidden/>
              </w:rPr>
            </w:r>
            <w:r>
              <w:rPr>
                <w:noProof/>
                <w:webHidden/>
              </w:rPr>
              <w:fldChar w:fldCharType="separate"/>
            </w:r>
            <w:r>
              <w:rPr>
                <w:noProof/>
                <w:webHidden/>
              </w:rPr>
              <w:t>168</w:t>
            </w:r>
            <w:r>
              <w:rPr>
                <w:noProof/>
                <w:webHidden/>
              </w:rPr>
              <w:fldChar w:fldCharType="end"/>
            </w:r>
          </w:hyperlink>
        </w:p>
        <w:p>
          <w:pPr>
            <w:pStyle w:val="TOC3"/>
            <w:rPr>
              <w:rFonts w:eastAsiaTheme="minorEastAsia"/>
              <w:noProof/>
              <w:lang w:val="en-ID" w:eastAsia="en-ID"/>
            </w:rPr>
          </w:pPr>
          <w:hyperlink w:anchor="_Toc118716012" w:history="1">
            <w:r>
              <w:rPr>
                <w:rStyle w:val="Hyperlink"/>
                <w:rFonts w:cstheme="minorHAnsi"/>
                <w:b/>
                <w:bCs/>
                <w:noProof/>
                <w:lang w:val="en-US"/>
              </w:rPr>
              <w:t xml:space="preserve">8.2.2 </w:t>
            </w:r>
            <w:r>
              <w:rPr>
                <w:rFonts w:eastAsiaTheme="minorEastAsia"/>
                <w:noProof/>
                <w:lang w:val="en-ID" w:eastAsia="en-ID"/>
              </w:rPr>
              <w:tab/>
            </w:r>
            <w:r>
              <w:rPr>
                <w:rStyle w:val="Hyperlink"/>
                <w:rFonts w:cstheme="minorHAnsi"/>
                <w:b/>
                <w:bCs/>
                <w:noProof/>
                <w:lang w:val="en-US"/>
              </w:rPr>
              <w:t>P</w:t>
            </w:r>
            <w:r>
              <w:rPr>
                <w:rStyle w:val="Hyperlink"/>
                <w:rFonts w:cstheme="minorHAnsi"/>
                <w:b/>
                <w:bCs/>
                <w:noProof/>
              </w:rPr>
              <w:t>erkembangan Jumlah Anggota DPRD Provinsi Kalimantan Tengah</w:t>
            </w:r>
            <w:r>
              <w:rPr>
                <w:noProof/>
                <w:webHidden/>
              </w:rPr>
              <w:tab/>
            </w:r>
            <w:r>
              <w:rPr>
                <w:noProof/>
                <w:webHidden/>
              </w:rPr>
              <w:fldChar w:fldCharType="begin"/>
            </w:r>
            <w:r>
              <w:rPr>
                <w:noProof/>
                <w:webHidden/>
              </w:rPr>
              <w:instrText xml:space="preserve"> PAGEREF _Toc118716012 \h </w:instrText>
            </w:r>
            <w:r>
              <w:rPr>
                <w:noProof/>
                <w:webHidden/>
              </w:rPr>
            </w:r>
            <w:r>
              <w:rPr>
                <w:noProof/>
                <w:webHidden/>
              </w:rPr>
              <w:fldChar w:fldCharType="separate"/>
            </w:r>
            <w:r>
              <w:rPr>
                <w:noProof/>
                <w:webHidden/>
              </w:rPr>
              <w:t>169</w:t>
            </w:r>
            <w:r>
              <w:rPr>
                <w:noProof/>
                <w:webHidden/>
              </w:rPr>
              <w:fldChar w:fldCharType="end"/>
            </w:r>
          </w:hyperlink>
        </w:p>
        <w:p>
          <w:pPr>
            <w:pStyle w:val="TOC2"/>
            <w:rPr>
              <w:rFonts w:eastAsiaTheme="minorEastAsia"/>
              <w:noProof/>
              <w:lang w:val="en-ID" w:eastAsia="en-ID"/>
            </w:rPr>
          </w:pPr>
          <w:hyperlink w:anchor="_Toc118716013" w:history="1">
            <w:r>
              <w:rPr>
                <w:rStyle w:val="Hyperlink"/>
                <w:rFonts w:cstheme="minorHAnsi"/>
                <w:b/>
                <w:bCs/>
                <w:noProof/>
                <w:lang w:val="en-US"/>
              </w:rPr>
              <w:t>8.3</w:t>
            </w:r>
            <w:r>
              <w:rPr>
                <w:rFonts w:eastAsiaTheme="minorEastAsia"/>
                <w:noProof/>
                <w:lang w:val="en-ID" w:eastAsia="en-ID"/>
              </w:rPr>
              <w:tab/>
            </w:r>
            <w:r>
              <w:rPr>
                <w:rStyle w:val="Hyperlink"/>
                <w:rFonts w:cstheme="minorHAnsi"/>
                <w:b/>
                <w:bCs/>
                <w:noProof/>
                <w:lang w:val="en-US"/>
              </w:rPr>
              <w:t>Disparitas IDG</w:t>
            </w:r>
            <w:r>
              <w:rPr>
                <w:noProof/>
                <w:webHidden/>
              </w:rPr>
              <w:tab/>
            </w:r>
            <w:r>
              <w:rPr>
                <w:noProof/>
                <w:webHidden/>
              </w:rPr>
              <w:fldChar w:fldCharType="begin"/>
            </w:r>
            <w:r>
              <w:rPr>
                <w:noProof/>
                <w:webHidden/>
              </w:rPr>
              <w:instrText xml:space="preserve"> PAGEREF _Toc118716013 \h </w:instrText>
            </w:r>
            <w:r>
              <w:rPr>
                <w:noProof/>
                <w:webHidden/>
              </w:rPr>
            </w:r>
            <w:r>
              <w:rPr>
                <w:noProof/>
                <w:webHidden/>
              </w:rPr>
              <w:fldChar w:fldCharType="separate"/>
            </w:r>
            <w:r>
              <w:rPr>
                <w:noProof/>
                <w:webHidden/>
              </w:rPr>
              <w:t>174</w:t>
            </w:r>
            <w:r>
              <w:rPr>
                <w:noProof/>
                <w:webHidden/>
              </w:rPr>
              <w:fldChar w:fldCharType="end"/>
            </w:r>
          </w:hyperlink>
        </w:p>
        <w:p>
          <w:pPr>
            <w:pStyle w:val="TOC3"/>
            <w:rPr>
              <w:rFonts w:eastAsiaTheme="minorEastAsia"/>
              <w:noProof/>
              <w:lang w:val="en-ID" w:eastAsia="en-ID"/>
            </w:rPr>
          </w:pPr>
          <w:hyperlink w:anchor="_Toc118716014" w:history="1">
            <w:r>
              <w:rPr>
                <w:rStyle w:val="Hyperlink"/>
                <w:rFonts w:cstheme="minorHAnsi"/>
                <w:b/>
                <w:bCs/>
                <w:noProof/>
                <w:lang w:val="en-US"/>
              </w:rPr>
              <w:t>8.3.1</w:t>
            </w:r>
            <w:r>
              <w:rPr>
                <w:rFonts w:eastAsiaTheme="minorEastAsia"/>
                <w:noProof/>
                <w:lang w:val="en-ID" w:eastAsia="en-ID"/>
              </w:rPr>
              <w:tab/>
            </w:r>
            <w:r>
              <w:rPr>
                <w:rStyle w:val="Hyperlink"/>
                <w:rFonts w:cstheme="minorHAnsi"/>
                <w:b/>
                <w:bCs/>
                <w:noProof/>
              </w:rPr>
              <w:t>Capaian IDG Kabupaten/Kota</w:t>
            </w:r>
            <w:r>
              <w:rPr>
                <w:noProof/>
                <w:webHidden/>
              </w:rPr>
              <w:tab/>
            </w:r>
            <w:r>
              <w:rPr>
                <w:noProof/>
                <w:webHidden/>
              </w:rPr>
              <w:fldChar w:fldCharType="begin"/>
            </w:r>
            <w:r>
              <w:rPr>
                <w:noProof/>
                <w:webHidden/>
              </w:rPr>
              <w:instrText xml:space="preserve"> PAGEREF _Toc118716014 \h </w:instrText>
            </w:r>
            <w:r>
              <w:rPr>
                <w:noProof/>
                <w:webHidden/>
              </w:rPr>
            </w:r>
            <w:r>
              <w:rPr>
                <w:noProof/>
                <w:webHidden/>
              </w:rPr>
              <w:fldChar w:fldCharType="separate"/>
            </w:r>
            <w:r>
              <w:rPr>
                <w:noProof/>
                <w:webHidden/>
              </w:rPr>
              <w:t>176</w:t>
            </w:r>
            <w:r>
              <w:rPr>
                <w:noProof/>
                <w:webHidden/>
              </w:rPr>
              <w:fldChar w:fldCharType="end"/>
            </w:r>
          </w:hyperlink>
        </w:p>
        <w:p>
          <w:pPr>
            <w:pStyle w:val="TOC1"/>
            <w:rPr>
              <w:rFonts w:eastAsiaTheme="minorEastAsia"/>
              <w:lang w:val="en-ID" w:eastAsia="en-ID"/>
            </w:rPr>
          </w:pPr>
          <w:hyperlink w:anchor="_Toc118716015" w:history="1">
            <w:r>
              <w:rPr>
                <w:rStyle w:val="Hyperlink"/>
                <w:rFonts w:cstheme="minorHAnsi"/>
              </w:rPr>
              <w:t>BAB IX</w:t>
            </w:r>
            <w:r>
              <w:rPr>
                <w:webHidden/>
              </w:rPr>
              <w:tab/>
            </w:r>
            <w:r>
              <w:rPr>
                <w:webHidden/>
              </w:rPr>
              <w:fldChar w:fldCharType="begin"/>
            </w:r>
            <w:r>
              <w:rPr>
                <w:webHidden/>
              </w:rPr>
              <w:instrText xml:space="preserve"> PAGEREF _Toc118716015 \h </w:instrText>
            </w:r>
            <w:r>
              <w:rPr>
                <w:webHidden/>
              </w:rPr>
            </w:r>
            <w:r>
              <w:rPr>
                <w:webHidden/>
              </w:rPr>
              <w:fldChar w:fldCharType="separate"/>
            </w:r>
            <w:r>
              <w:rPr>
                <w:webHidden/>
              </w:rPr>
              <w:t>180</w:t>
            </w:r>
            <w:r>
              <w:rPr>
                <w:webHidden/>
              </w:rPr>
              <w:fldChar w:fldCharType="end"/>
            </w:r>
          </w:hyperlink>
        </w:p>
        <w:p>
          <w:pPr>
            <w:pStyle w:val="TOC2"/>
            <w:rPr>
              <w:rFonts w:eastAsiaTheme="minorEastAsia"/>
              <w:noProof/>
              <w:lang w:val="en-ID" w:eastAsia="en-ID"/>
            </w:rPr>
          </w:pPr>
          <w:hyperlink w:anchor="_Toc118716016" w:history="1">
            <w:r>
              <w:rPr>
                <w:rStyle w:val="Hyperlink"/>
                <w:rFonts w:cstheme="minorHAnsi"/>
                <w:b/>
                <w:bCs/>
                <w:noProof/>
                <w:lang w:val="en-US"/>
              </w:rPr>
              <w:t>9.1</w:t>
            </w:r>
            <w:r>
              <w:rPr>
                <w:rFonts w:eastAsiaTheme="minorEastAsia"/>
                <w:noProof/>
                <w:lang w:val="en-ID" w:eastAsia="en-ID"/>
              </w:rPr>
              <w:tab/>
            </w:r>
            <w:r>
              <w:rPr>
                <w:rStyle w:val="Hyperlink"/>
                <w:rFonts w:cstheme="minorHAnsi"/>
                <w:b/>
                <w:bCs/>
                <w:noProof/>
              </w:rPr>
              <w:t>Perkembangan Pembangunan Gender</w:t>
            </w:r>
            <w:r>
              <w:rPr>
                <w:noProof/>
                <w:webHidden/>
              </w:rPr>
              <w:tab/>
            </w:r>
            <w:r>
              <w:rPr>
                <w:noProof/>
                <w:webHidden/>
              </w:rPr>
              <w:fldChar w:fldCharType="begin"/>
            </w:r>
            <w:r>
              <w:rPr>
                <w:noProof/>
                <w:webHidden/>
              </w:rPr>
              <w:instrText xml:space="preserve"> PAGEREF _Toc118716016 \h </w:instrText>
            </w:r>
            <w:r>
              <w:rPr>
                <w:noProof/>
                <w:webHidden/>
              </w:rPr>
            </w:r>
            <w:r>
              <w:rPr>
                <w:noProof/>
                <w:webHidden/>
              </w:rPr>
              <w:fldChar w:fldCharType="separate"/>
            </w:r>
            <w:r>
              <w:rPr>
                <w:noProof/>
                <w:webHidden/>
              </w:rPr>
              <w:t>183</w:t>
            </w:r>
            <w:r>
              <w:rPr>
                <w:noProof/>
                <w:webHidden/>
              </w:rPr>
              <w:fldChar w:fldCharType="end"/>
            </w:r>
          </w:hyperlink>
        </w:p>
        <w:p>
          <w:pPr>
            <w:pStyle w:val="TOC2"/>
            <w:rPr>
              <w:rFonts w:eastAsiaTheme="minorEastAsia"/>
              <w:noProof/>
              <w:lang w:val="en-ID" w:eastAsia="en-ID"/>
            </w:rPr>
          </w:pPr>
          <w:hyperlink w:anchor="_Toc118716017" w:history="1">
            <w:r>
              <w:rPr>
                <w:rStyle w:val="Hyperlink"/>
                <w:rFonts w:cstheme="minorHAnsi"/>
                <w:b/>
                <w:bCs/>
                <w:noProof/>
                <w:lang w:val="en-US"/>
              </w:rPr>
              <w:t>9.2</w:t>
            </w:r>
            <w:r>
              <w:rPr>
                <w:rFonts w:eastAsiaTheme="minorEastAsia"/>
                <w:noProof/>
                <w:lang w:val="en-ID" w:eastAsia="en-ID"/>
              </w:rPr>
              <w:tab/>
            </w:r>
            <w:r>
              <w:rPr>
                <w:rStyle w:val="Hyperlink"/>
                <w:rFonts w:cstheme="minorHAnsi"/>
                <w:b/>
                <w:bCs/>
                <w:noProof/>
              </w:rPr>
              <w:t>Pencapaian Komponen IPG</w:t>
            </w:r>
            <w:r>
              <w:rPr>
                <w:noProof/>
                <w:webHidden/>
              </w:rPr>
              <w:tab/>
            </w:r>
            <w:r>
              <w:rPr>
                <w:noProof/>
                <w:webHidden/>
              </w:rPr>
              <w:fldChar w:fldCharType="begin"/>
            </w:r>
            <w:r>
              <w:rPr>
                <w:noProof/>
                <w:webHidden/>
              </w:rPr>
              <w:instrText xml:space="preserve"> PAGEREF _Toc118716017 \h </w:instrText>
            </w:r>
            <w:r>
              <w:rPr>
                <w:noProof/>
                <w:webHidden/>
              </w:rPr>
            </w:r>
            <w:r>
              <w:rPr>
                <w:noProof/>
                <w:webHidden/>
              </w:rPr>
              <w:fldChar w:fldCharType="separate"/>
            </w:r>
            <w:r>
              <w:rPr>
                <w:noProof/>
                <w:webHidden/>
              </w:rPr>
              <w:t>185</w:t>
            </w:r>
            <w:r>
              <w:rPr>
                <w:noProof/>
                <w:webHidden/>
              </w:rPr>
              <w:fldChar w:fldCharType="end"/>
            </w:r>
          </w:hyperlink>
        </w:p>
        <w:p>
          <w:pPr>
            <w:pStyle w:val="TOC3"/>
            <w:rPr>
              <w:rFonts w:eastAsiaTheme="minorEastAsia"/>
              <w:noProof/>
              <w:lang w:val="en-ID" w:eastAsia="en-ID"/>
            </w:rPr>
          </w:pPr>
          <w:hyperlink w:anchor="_Toc118716018" w:history="1">
            <w:r>
              <w:rPr>
                <w:rStyle w:val="Hyperlink"/>
                <w:rFonts w:cstheme="minorHAnsi"/>
                <w:b/>
                <w:bCs/>
                <w:noProof/>
                <w:lang w:val="en-US"/>
              </w:rPr>
              <w:t>9.2.1</w:t>
            </w:r>
            <w:r>
              <w:rPr>
                <w:rFonts w:eastAsiaTheme="minorEastAsia"/>
                <w:noProof/>
                <w:lang w:val="en-ID" w:eastAsia="en-ID"/>
              </w:rPr>
              <w:tab/>
            </w:r>
            <w:r>
              <w:rPr>
                <w:rStyle w:val="Hyperlink"/>
                <w:rFonts w:cstheme="minorHAnsi"/>
                <w:b/>
                <w:bCs/>
                <w:noProof/>
                <w:lang w:val="en-US"/>
              </w:rPr>
              <w:t xml:space="preserve"> </w:t>
            </w:r>
            <w:r>
              <w:rPr>
                <w:rStyle w:val="Hyperlink"/>
                <w:rFonts w:cstheme="minorHAnsi"/>
                <w:b/>
                <w:bCs/>
                <w:noProof/>
              </w:rPr>
              <w:t>Umur Harapan Hidup (UHH)</w:t>
            </w:r>
            <w:r>
              <w:rPr>
                <w:noProof/>
                <w:webHidden/>
              </w:rPr>
              <w:tab/>
            </w:r>
            <w:r>
              <w:rPr>
                <w:noProof/>
                <w:webHidden/>
              </w:rPr>
              <w:fldChar w:fldCharType="begin"/>
            </w:r>
            <w:r>
              <w:rPr>
                <w:noProof/>
                <w:webHidden/>
              </w:rPr>
              <w:instrText xml:space="preserve"> PAGEREF _Toc118716018 \h </w:instrText>
            </w:r>
            <w:r>
              <w:rPr>
                <w:noProof/>
                <w:webHidden/>
              </w:rPr>
            </w:r>
            <w:r>
              <w:rPr>
                <w:noProof/>
                <w:webHidden/>
              </w:rPr>
              <w:fldChar w:fldCharType="separate"/>
            </w:r>
            <w:r>
              <w:rPr>
                <w:noProof/>
                <w:webHidden/>
              </w:rPr>
              <w:t>185</w:t>
            </w:r>
            <w:r>
              <w:rPr>
                <w:noProof/>
                <w:webHidden/>
              </w:rPr>
              <w:fldChar w:fldCharType="end"/>
            </w:r>
          </w:hyperlink>
        </w:p>
        <w:p>
          <w:pPr>
            <w:pStyle w:val="TOC3"/>
            <w:rPr>
              <w:rFonts w:eastAsiaTheme="minorEastAsia"/>
              <w:noProof/>
              <w:lang w:val="en-ID" w:eastAsia="en-ID"/>
            </w:rPr>
          </w:pPr>
          <w:hyperlink w:anchor="_Toc118716019" w:history="1">
            <w:r>
              <w:rPr>
                <w:rStyle w:val="Hyperlink"/>
                <w:rFonts w:cstheme="minorHAnsi"/>
                <w:b/>
                <w:bCs/>
                <w:noProof/>
                <w:lang w:val="en-US"/>
              </w:rPr>
              <w:t>9.2.2</w:t>
            </w:r>
            <w:r>
              <w:rPr>
                <w:rFonts w:eastAsiaTheme="minorEastAsia"/>
                <w:noProof/>
                <w:lang w:val="en-ID" w:eastAsia="en-ID"/>
              </w:rPr>
              <w:tab/>
            </w:r>
            <w:r>
              <w:rPr>
                <w:rStyle w:val="Hyperlink"/>
                <w:rFonts w:cstheme="minorHAnsi"/>
                <w:b/>
                <w:bCs/>
                <w:noProof/>
              </w:rPr>
              <w:t>Harapan Lama Sekolah (HLS) dan Rata-rata Lama Sekolah (RLS)</w:t>
            </w:r>
            <w:r>
              <w:rPr>
                <w:noProof/>
                <w:webHidden/>
              </w:rPr>
              <w:tab/>
            </w:r>
            <w:r>
              <w:rPr>
                <w:noProof/>
                <w:webHidden/>
              </w:rPr>
              <w:fldChar w:fldCharType="begin"/>
            </w:r>
            <w:r>
              <w:rPr>
                <w:noProof/>
                <w:webHidden/>
              </w:rPr>
              <w:instrText xml:space="preserve"> PAGEREF _Toc118716019 \h </w:instrText>
            </w:r>
            <w:r>
              <w:rPr>
                <w:noProof/>
                <w:webHidden/>
              </w:rPr>
            </w:r>
            <w:r>
              <w:rPr>
                <w:noProof/>
                <w:webHidden/>
              </w:rPr>
              <w:fldChar w:fldCharType="separate"/>
            </w:r>
            <w:r>
              <w:rPr>
                <w:noProof/>
                <w:webHidden/>
              </w:rPr>
              <w:t>187</w:t>
            </w:r>
            <w:r>
              <w:rPr>
                <w:noProof/>
                <w:webHidden/>
              </w:rPr>
              <w:fldChar w:fldCharType="end"/>
            </w:r>
          </w:hyperlink>
        </w:p>
        <w:p>
          <w:pPr>
            <w:pStyle w:val="TOC3"/>
            <w:rPr>
              <w:rFonts w:eastAsiaTheme="minorEastAsia"/>
              <w:noProof/>
              <w:lang w:val="en-ID" w:eastAsia="en-ID"/>
            </w:rPr>
          </w:pPr>
          <w:hyperlink w:anchor="_Toc118716020" w:history="1">
            <w:r>
              <w:rPr>
                <w:rStyle w:val="Hyperlink"/>
                <w:rFonts w:cstheme="minorHAnsi"/>
                <w:b/>
                <w:bCs/>
                <w:noProof/>
              </w:rPr>
              <w:t>9.2.3. Pengeluaran per Kapita yang Disesuaikan</w:t>
            </w:r>
            <w:r>
              <w:rPr>
                <w:noProof/>
                <w:webHidden/>
              </w:rPr>
              <w:tab/>
            </w:r>
            <w:r>
              <w:rPr>
                <w:noProof/>
                <w:webHidden/>
              </w:rPr>
              <w:fldChar w:fldCharType="begin"/>
            </w:r>
            <w:r>
              <w:rPr>
                <w:noProof/>
                <w:webHidden/>
              </w:rPr>
              <w:instrText xml:space="preserve"> PAGEREF _Toc118716020 \h </w:instrText>
            </w:r>
            <w:r>
              <w:rPr>
                <w:noProof/>
                <w:webHidden/>
              </w:rPr>
            </w:r>
            <w:r>
              <w:rPr>
                <w:noProof/>
                <w:webHidden/>
              </w:rPr>
              <w:fldChar w:fldCharType="separate"/>
            </w:r>
            <w:r>
              <w:rPr>
                <w:noProof/>
                <w:webHidden/>
              </w:rPr>
              <w:t>191</w:t>
            </w:r>
            <w:r>
              <w:rPr>
                <w:noProof/>
                <w:webHidden/>
              </w:rPr>
              <w:fldChar w:fldCharType="end"/>
            </w:r>
          </w:hyperlink>
        </w:p>
        <w:p>
          <w:pPr>
            <w:pStyle w:val="TOC2"/>
            <w:rPr>
              <w:rFonts w:eastAsiaTheme="minorEastAsia"/>
              <w:noProof/>
              <w:lang w:val="en-ID" w:eastAsia="en-ID"/>
            </w:rPr>
          </w:pPr>
          <w:hyperlink w:anchor="_Toc118716021" w:history="1">
            <w:r>
              <w:rPr>
                <w:rStyle w:val="Hyperlink"/>
                <w:rFonts w:cstheme="minorHAnsi"/>
                <w:b/>
                <w:bCs/>
                <w:noProof/>
              </w:rPr>
              <w:t>9.3.</w:t>
            </w:r>
            <w:r>
              <w:rPr>
                <w:rStyle w:val="Hyperlink"/>
                <w:rFonts w:cstheme="minorHAnsi"/>
                <w:b/>
                <w:bCs/>
                <w:noProof/>
              </w:rPr>
              <w:tab/>
              <w:t>Disparitas Pencapaian Pembangunan Gender Antar Wilayah</w:t>
            </w:r>
            <w:r>
              <w:rPr>
                <w:rStyle w:val="Hyperlink"/>
                <w:rFonts w:cstheme="minorHAnsi"/>
                <w:b/>
                <w:bCs/>
                <w:noProof/>
                <w:lang w:val="en-US"/>
              </w:rPr>
              <w:t xml:space="preserve"> </w:t>
            </w:r>
            <w:r>
              <w:rPr>
                <w:rStyle w:val="Hyperlink"/>
                <w:rFonts w:cstheme="minorHAnsi"/>
                <w:b/>
                <w:bCs/>
                <w:noProof/>
              </w:rPr>
              <w:t>Kab/Kota</w:t>
            </w:r>
            <w:r>
              <w:rPr>
                <w:noProof/>
                <w:webHidden/>
              </w:rPr>
              <w:tab/>
            </w:r>
            <w:r>
              <w:rPr>
                <w:noProof/>
                <w:webHidden/>
              </w:rPr>
              <w:fldChar w:fldCharType="begin"/>
            </w:r>
            <w:r>
              <w:rPr>
                <w:noProof/>
                <w:webHidden/>
              </w:rPr>
              <w:instrText xml:space="preserve"> PAGEREF _Toc118716021 \h </w:instrText>
            </w:r>
            <w:r>
              <w:rPr>
                <w:noProof/>
                <w:webHidden/>
              </w:rPr>
            </w:r>
            <w:r>
              <w:rPr>
                <w:noProof/>
                <w:webHidden/>
              </w:rPr>
              <w:fldChar w:fldCharType="separate"/>
            </w:r>
            <w:r>
              <w:rPr>
                <w:noProof/>
                <w:webHidden/>
              </w:rPr>
              <w:t>193</w:t>
            </w:r>
            <w:r>
              <w:rPr>
                <w:noProof/>
                <w:webHidden/>
              </w:rPr>
              <w:fldChar w:fldCharType="end"/>
            </w:r>
          </w:hyperlink>
        </w:p>
        <w:p>
          <w:pPr>
            <w:pStyle w:val="TOC1"/>
            <w:ind w:left="0"/>
          </w:pPr>
          <w:r>
            <w:rPr>
              <w:lang w:val="en-ID" w:eastAsia="en-ID"/>
            </w:rPr>
            <w:lastRenderedPageBreak/>
            <mc:AlternateContent>
              <mc:Choice Requires="wps">
                <w:drawing>
                  <wp:anchor distT="0" distB="0" distL="114300" distR="114300" simplePos="0" relativeHeight="251673088" behindDoc="0" locked="0" layoutInCell="1" allowOverlap="1">
                    <wp:simplePos x="0" y="0"/>
                    <wp:positionH relativeFrom="column">
                      <wp:posOffset>-871599</wp:posOffset>
                    </wp:positionH>
                    <wp:positionV relativeFrom="paragraph">
                      <wp:posOffset>-900430</wp:posOffset>
                    </wp:positionV>
                    <wp:extent cx="6715760" cy="1619885"/>
                    <wp:effectExtent l="0" t="0" r="889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760" cy="1619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01BD87" id="Rectangle 51" o:spid="_x0000_s1026" style="position:absolute;margin-left:-68.65pt;margin-top:-70.9pt;width:528.8pt;height:12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" fillcolor="white [3212]" strokecolor="white [3212]" strokeweight="2pt">
                    <v:path arrowok="t"/>
                  </v:rect>
                </w:pict>
              </mc:Fallback>
            </mc:AlternateContent>
          </w:r>
          <w:r>
            <w:fldChar w:fldCharType="end"/>
          </w:r>
        </w:p>
      </w:sdtContent>
    </w:sdt>
    <w:p>
      <w:pPr>
        <w:spacing w:after="0"/>
        <w:jc w:val="both"/>
        <w:rPr>
          <w:rFonts w:cstheme="minorHAnsi"/>
          <w:b/>
          <w:noProof/>
          <w:spacing w:val="-6"/>
          <w:lang w:val="en-US" w:eastAsia="id-ID"/>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p>
    <w:p>
      <w:pPr>
        <w:spacing w:after="0"/>
        <w:ind w:firstLine="851"/>
        <w:jc w:val="both"/>
        <w:rPr>
          <w:rFonts w:cstheme="minorHAnsi"/>
        </w:rPr>
      </w:pPr>
      <w:r>
        <w:rPr>
          <w:noProof/>
          <w:lang w:val="en-ID" w:eastAsia="en-ID"/>
        </w:rPr>
        <mc:AlternateContent>
          <mc:Choice Requires="wps">
            <w:drawing>
              <wp:anchor distT="0" distB="0" distL="114300" distR="114300" simplePos="0" relativeHeight="251672064" behindDoc="0" locked="0" layoutInCell="1" allowOverlap="1">
                <wp:simplePos x="0" y="0"/>
                <wp:positionH relativeFrom="column">
                  <wp:posOffset>-991870</wp:posOffset>
                </wp:positionH>
                <wp:positionV relativeFrom="paragraph">
                  <wp:posOffset>-906780</wp:posOffset>
                </wp:positionV>
                <wp:extent cx="6715760" cy="9285605"/>
                <wp:effectExtent l="0" t="0" r="889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760" cy="92856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9BEB9" id="Rectangle 50" o:spid="_x0000_s1026" style="position:absolute;margin-left:-78.1pt;margin-top:-71.4pt;width:528.8pt;height:73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" fillcolor="white [3212]" strokecolor="white [3212]" strokeweight="2pt">
                <v:path arrowok="t"/>
              </v:rect>
            </w:pict>
          </mc:Fallback>
        </mc:AlternateContent>
      </w:r>
    </w:p>
    <w:p>
      <w:pPr>
        <w:tabs>
          <w:tab w:val="left" w:pos="4504"/>
        </w:tabs>
        <w:spacing w:after="0"/>
        <w:ind w:firstLine="851"/>
        <w:jc w:val="center"/>
        <w:rPr>
          <w:rFonts w:cstheme="minorHAnsi"/>
        </w:rPr>
      </w:pPr>
    </w:p>
    <w:p>
      <w:pPr>
        <w:spacing w:after="0"/>
        <w:ind w:firstLine="851"/>
        <w:jc w:val="center"/>
        <w:rPr>
          <w:rFonts w:cstheme="minorHAnsi"/>
        </w:rPr>
      </w:pPr>
    </w:p>
    <w:p>
      <w:pPr>
        <w:tabs>
          <w:tab w:val="left" w:pos="4504"/>
        </w:tabs>
        <w:spacing w:after="0"/>
        <w:ind w:firstLine="851"/>
        <w:jc w:val="center"/>
        <w:rPr>
          <w:rFonts w:cstheme="minorHAnsi"/>
        </w:rPr>
      </w:pPr>
    </w:p>
    <w:p>
      <w:pPr>
        <w:spacing w:after="0"/>
        <w:ind w:firstLine="851"/>
        <w:jc w:val="center"/>
        <w:rPr>
          <w:rFonts w:cstheme="minorHAnsi"/>
        </w:rPr>
      </w:pPr>
    </w:p>
    <w:p>
      <w:pPr>
        <w:spacing w:after="0"/>
        <w:ind w:firstLine="851"/>
        <w:jc w:val="center"/>
        <w:rPr>
          <w:rFonts w:cstheme="minorHAnsi"/>
        </w:rPr>
      </w:pPr>
    </w:p>
    <w:p>
      <w:pPr>
        <w:spacing w:after="0"/>
        <w:ind w:firstLine="851"/>
        <w:jc w:val="center"/>
        <w:rPr>
          <w:rFonts w:cstheme="minorHAnsi"/>
        </w:rPr>
      </w:pPr>
    </w:p>
    <w:p>
      <w:pPr>
        <w:spacing w:after="0"/>
        <w:ind w:firstLine="851"/>
        <w:jc w:val="center"/>
        <w:rPr>
          <w:rFonts w:cstheme="minorHAnsi"/>
        </w:rPr>
      </w:pPr>
    </w:p>
    <w:p>
      <w:pPr>
        <w:spacing w:after="0"/>
        <w:ind w:firstLine="851"/>
        <w:jc w:val="center"/>
        <w:rPr>
          <w:rFonts w:cstheme="minorHAnsi"/>
        </w:rPr>
      </w:pPr>
    </w:p>
    <w:p>
      <w:pPr>
        <w:spacing w:after="0"/>
        <w:ind w:firstLine="851"/>
        <w:jc w:val="center"/>
        <w:rPr>
          <w:rFonts w:cstheme="minorHAnsi"/>
        </w:rPr>
      </w:pPr>
    </w:p>
    <w:p>
      <w:pPr>
        <w:spacing w:after="0"/>
        <w:ind w:firstLine="851"/>
        <w:jc w:val="center"/>
        <w:rPr>
          <w:rFonts w:cstheme="minorHAnsi"/>
        </w:rPr>
      </w:pPr>
    </w:p>
    <w:p>
      <w:pPr>
        <w:spacing w:after="0"/>
        <w:ind w:firstLine="851"/>
        <w:jc w:val="center"/>
        <w:rPr>
          <w:rFonts w:cstheme="minorHAnsi"/>
        </w:rPr>
      </w:pPr>
    </w:p>
    <w:p>
      <w:pPr>
        <w:spacing w:after="0"/>
        <w:ind w:firstLine="851"/>
        <w:jc w:val="center"/>
        <w:rPr>
          <w:rFonts w:cstheme="minorHAnsi"/>
        </w:rPr>
      </w:pPr>
    </w:p>
    <w:p>
      <w:pPr>
        <w:widowControl w:val="0"/>
        <w:spacing w:after="0"/>
        <w:ind w:right="300" w:firstLine="851"/>
        <w:jc w:val="center"/>
        <w:rPr>
          <w:rFonts w:cstheme="minorHAnsi"/>
          <w:sz w:val="24"/>
          <w:szCs w:val="24"/>
        </w:rPr>
        <w:sectPr>
          <w:footerReference w:type="first" r:id="rId22"/>
          <w:pgSz w:w="8391" w:h="11906" w:code="11"/>
          <w:pgMar w:top="1411" w:right="878" w:bottom="1411" w:left="851" w:header="706" w:footer="173" w:gutter="0"/>
          <w:pgNumType w:fmt="lowerRoman"/>
          <w:cols w:space="708"/>
          <w:docGrid w:linePitch="360"/>
        </w:sectPr>
      </w:pPr>
    </w:p>
    <w:p>
      <w:pPr>
        <w:pStyle w:val="Heading1"/>
        <w:ind w:right="-143"/>
        <w:rPr>
          <w:rFonts w:asciiTheme="minorHAnsi" w:hAnsiTheme="minorHAnsi" w:cstheme="minorHAnsi"/>
          <w:sz w:val="32"/>
        </w:rPr>
      </w:pPr>
      <w:bookmarkStart w:id="3" w:name="_Toc118715963"/>
      <w:r>
        <w:rPr>
          <w:rFonts w:asciiTheme="minorHAnsi" w:hAnsiTheme="minorHAnsi" w:cstheme="minorHAnsi"/>
          <w:sz w:val="32"/>
        </w:rPr>
        <w:lastRenderedPageBreak/>
        <w:t>DAFTAR GAMBAR</w:t>
      </w:r>
      <w:bookmarkEnd w:id="3"/>
    </w:p>
    <w:p>
      <w:pPr>
        <w:pStyle w:val="TableofFigures"/>
        <w:tabs>
          <w:tab w:val="right" w:leader="dot" w:pos="6520"/>
        </w:tabs>
        <w:spacing w:line="360" w:lineRule="auto"/>
        <w:ind w:left="1701" w:right="141" w:hanging="1417"/>
        <w:jc w:val="both"/>
        <w:rPr>
          <w:rFonts w:eastAsiaTheme="minorEastAsia"/>
          <w:noProof/>
          <w:lang w:val="en-ID" w:eastAsia="en-ID"/>
        </w:rPr>
      </w:pPr>
      <w:r>
        <w:rPr>
          <w:rFonts w:cstheme="minorHAnsi"/>
          <w:bCs/>
          <w:noProof/>
          <w:spacing w:val="-6"/>
          <w:lang w:val="en-US" w:eastAsia="id-ID"/>
        </w:rPr>
        <w:fldChar w:fldCharType="begin"/>
      </w:r>
      <w:r>
        <w:rPr>
          <w:rFonts w:cstheme="minorHAnsi"/>
          <w:bCs/>
          <w:noProof/>
          <w:spacing w:val="-6"/>
          <w:lang w:val="en-US" w:eastAsia="id-ID"/>
        </w:rPr>
        <w:instrText xml:space="preserve"> TOC \h \z \c "Gambar 2." </w:instrText>
      </w:r>
      <w:r>
        <w:rPr>
          <w:rFonts w:cstheme="minorHAnsi"/>
          <w:bCs/>
          <w:noProof/>
          <w:spacing w:val="-6"/>
          <w:lang w:val="en-US" w:eastAsia="id-ID"/>
        </w:rPr>
        <w:fldChar w:fldCharType="separate"/>
      </w:r>
      <w:hyperlink w:anchor="_Toc117260775" w:history="1">
        <w:r>
          <w:rPr>
            <w:rStyle w:val="Hyperlink"/>
            <w:rFonts w:cstheme="minorHAnsi"/>
            <w:b/>
            <w:bCs/>
            <w:noProof/>
          </w:rPr>
          <w:t>Gambar 2. 1</w:t>
        </w:r>
        <w:r>
          <w:rPr>
            <w:rStyle w:val="Hyperlink"/>
            <w:rFonts w:cstheme="minorHAnsi"/>
            <w:b/>
            <w:bCs/>
            <w:noProof/>
            <w:lang w:val="en-US"/>
          </w:rPr>
          <w:t xml:space="preserve"> </w:t>
        </w:r>
        <w:r>
          <w:rPr>
            <w:rFonts w:eastAsiaTheme="minorEastAsia"/>
            <w:noProof/>
            <w:lang w:val="en-ID" w:eastAsia="en-ID"/>
          </w:rPr>
          <w:tab/>
        </w:r>
        <w:r>
          <w:rPr>
            <w:rStyle w:val="Hyperlink"/>
            <w:b/>
            <w:bCs/>
            <w:noProof/>
          </w:rPr>
          <w:t>Produk Domestik Regional Bruto (PDRB),  2021 (triliun rupiah)</w:t>
        </w:r>
        <w:r>
          <w:rPr>
            <w:noProof/>
            <w:webHidden/>
          </w:rPr>
          <w:tab/>
        </w:r>
        <w:r>
          <w:rPr>
            <w:noProof/>
            <w:webHidden/>
          </w:rPr>
          <w:fldChar w:fldCharType="begin"/>
        </w:r>
        <w:r>
          <w:rPr>
            <w:noProof/>
            <w:webHidden/>
          </w:rPr>
          <w:instrText xml:space="preserve"> PAGEREF _Toc117260775 \h </w:instrText>
        </w:r>
        <w:r>
          <w:rPr>
            <w:noProof/>
            <w:webHidden/>
          </w:rPr>
        </w:r>
        <w:r>
          <w:rPr>
            <w:noProof/>
            <w:webHidden/>
          </w:rPr>
          <w:fldChar w:fldCharType="separate"/>
        </w:r>
        <w:r>
          <w:rPr>
            <w:noProof/>
            <w:webHidden/>
          </w:rPr>
          <w:t>21</w:t>
        </w:r>
        <w:r>
          <w:rPr>
            <w:noProof/>
            <w:webHidden/>
          </w:rPr>
          <w:fldChar w:fldCharType="end"/>
        </w:r>
      </w:hyperlink>
    </w:p>
    <w:p>
      <w:pPr>
        <w:pStyle w:val="TableofFigures"/>
        <w:tabs>
          <w:tab w:val="left" w:pos="1540"/>
          <w:tab w:val="right" w:leader="dot" w:pos="6520"/>
        </w:tabs>
        <w:spacing w:line="360" w:lineRule="auto"/>
        <w:ind w:left="1701" w:right="141" w:hanging="1417"/>
        <w:jc w:val="both"/>
        <w:rPr>
          <w:rFonts w:eastAsiaTheme="minorEastAsia"/>
          <w:noProof/>
          <w:lang w:val="en-ID" w:eastAsia="en-ID"/>
        </w:rPr>
      </w:pPr>
      <w:hyperlink w:anchor="_Toc117260776" w:history="1">
        <w:r>
          <w:rPr>
            <w:rStyle w:val="Hyperlink"/>
            <w:rFonts w:cstheme="minorHAnsi"/>
            <w:b/>
            <w:bCs/>
            <w:noProof/>
          </w:rPr>
          <w:t>Gambar 2. 2</w:t>
        </w:r>
        <w:r>
          <w:rPr>
            <w:rFonts w:eastAsiaTheme="minorEastAsia"/>
            <w:noProof/>
            <w:lang w:val="en-ID" w:eastAsia="en-ID"/>
          </w:rPr>
          <w:tab/>
        </w:r>
        <w:r>
          <w:rPr>
            <w:rFonts w:eastAsiaTheme="minorEastAsia"/>
            <w:noProof/>
            <w:lang w:val="en-ID" w:eastAsia="en-ID"/>
          </w:rPr>
          <w:tab/>
        </w:r>
        <w:r>
          <w:rPr>
            <w:rStyle w:val="Hyperlink"/>
            <w:rFonts w:cstheme="minorHAnsi"/>
            <w:b/>
            <w:bCs/>
            <w:noProof/>
          </w:rPr>
          <w:t>Sumber Pertumbuhan Ekonomi Kalimantan Tengah (c to c) Menurut Kategori Lapangan Usaha 2019-2021 (persen</w:t>
        </w:r>
        <w:r>
          <w:rPr>
            <w:rStyle w:val="Hyperlink"/>
            <w:rFonts w:cs="Tahoma"/>
            <w:b/>
            <w:noProof/>
          </w:rPr>
          <w:t>)</w:t>
        </w:r>
        <w:r>
          <w:rPr>
            <w:noProof/>
            <w:webHidden/>
          </w:rPr>
          <w:tab/>
        </w:r>
        <w:r>
          <w:rPr>
            <w:noProof/>
            <w:webHidden/>
          </w:rPr>
          <w:fldChar w:fldCharType="begin"/>
        </w:r>
        <w:r>
          <w:rPr>
            <w:noProof/>
            <w:webHidden/>
          </w:rPr>
          <w:instrText xml:space="preserve"> PAGEREF _Toc117260776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left" w:pos="1540"/>
          <w:tab w:val="right" w:leader="dot" w:pos="6520"/>
        </w:tabs>
        <w:spacing w:line="360" w:lineRule="auto"/>
        <w:ind w:left="1701" w:right="141" w:hanging="1417"/>
        <w:jc w:val="both"/>
        <w:rPr>
          <w:rFonts w:eastAsiaTheme="minorEastAsia"/>
          <w:noProof/>
          <w:lang w:val="en-ID" w:eastAsia="en-ID"/>
        </w:rPr>
      </w:pPr>
      <w:hyperlink w:anchor="_Toc117260777" w:history="1">
        <w:r>
          <w:rPr>
            <w:rStyle w:val="Hyperlink"/>
            <w:b/>
            <w:bCs/>
            <w:noProof/>
          </w:rPr>
          <w:t>Gambar 2. 3</w:t>
        </w:r>
        <w:r>
          <w:rPr>
            <w:rFonts w:eastAsiaTheme="minorEastAsia"/>
            <w:noProof/>
            <w:lang w:val="en-ID" w:eastAsia="en-ID"/>
          </w:rPr>
          <w:tab/>
        </w:r>
        <w:r>
          <w:rPr>
            <w:rFonts w:eastAsiaTheme="minorEastAsia"/>
            <w:noProof/>
            <w:lang w:val="en-ID" w:eastAsia="en-ID"/>
          </w:rPr>
          <w:tab/>
        </w:r>
        <w:r>
          <w:rPr>
            <w:rStyle w:val="Hyperlink"/>
            <w:rFonts w:cs="Tahoma"/>
            <w:b/>
            <w:bCs/>
            <w:noProof/>
          </w:rPr>
          <w:t>Sumber Pertumbuhan Ekonomi Kalimantan Tengah (y-on-y) Menurut Kategori Lapangan Usaha 2019-2021 (persen)</w:t>
        </w:r>
        <w:r>
          <w:rPr>
            <w:noProof/>
            <w:webHidden/>
          </w:rPr>
          <w:tab/>
        </w:r>
        <w:r>
          <w:rPr>
            <w:noProof/>
            <w:webHidden/>
          </w:rPr>
          <w:fldChar w:fldCharType="begin"/>
        </w:r>
        <w:r>
          <w:rPr>
            <w:noProof/>
            <w:webHidden/>
          </w:rPr>
          <w:instrText xml:space="preserve"> PAGEREF _Toc117260777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left" w:pos="1540"/>
          <w:tab w:val="right" w:leader="dot" w:pos="6520"/>
        </w:tabs>
        <w:spacing w:line="360" w:lineRule="auto"/>
        <w:ind w:left="1701" w:right="141" w:hanging="1417"/>
        <w:jc w:val="both"/>
        <w:rPr>
          <w:rFonts w:eastAsiaTheme="minorEastAsia"/>
          <w:noProof/>
          <w:lang w:val="en-ID" w:eastAsia="en-ID"/>
        </w:rPr>
      </w:pPr>
      <w:hyperlink w:anchor="_Toc117260778" w:history="1">
        <w:r>
          <w:rPr>
            <w:rStyle w:val="Hyperlink"/>
            <w:b/>
            <w:bCs/>
            <w:noProof/>
          </w:rPr>
          <w:t>Gambar 2. 4</w:t>
        </w:r>
        <w:r>
          <w:rPr>
            <w:rFonts w:eastAsiaTheme="minorEastAsia"/>
            <w:noProof/>
            <w:lang w:val="en-ID" w:eastAsia="en-ID"/>
          </w:rPr>
          <w:tab/>
        </w:r>
        <w:r>
          <w:rPr>
            <w:rFonts w:eastAsiaTheme="minorEastAsia"/>
            <w:noProof/>
            <w:lang w:val="en-ID" w:eastAsia="en-ID"/>
          </w:rPr>
          <w:tab/>
        </w:r>
        <w:r>
          <w:rPr>
            <w:rStyle w:val="Hyperlink"/>
            <w:rFonts w:cs="Tahoma"/>
            <w:b/>
            <w:bCs/>
            <w:noProof/>
          </w:rPr>
          <w:t>Perkembangan Inflasi Kalimantan Tengah, Desember 2020 –Desember 2021</w:t>
        </w:r>
        <w:r>
          <w:rPr>
            <w:noProof/>
            <w:webHidden/>
          </w:rPr>
          <w:tab/>
        </w:r>
        <w:r>
          <w:rPr>
            <w:noProof/>
            <w:webHidden/>
          </w:rPr>
          <w:fldChar w:fldCharType="begin"/>
        </w:r>
        <w:r>
          <w:rPr>
            <w:noProof/>
            <w:webHidden/>
          </w:rPr>
          <w:instrText xml:space="preserve"> PAGEREF _Toc117260778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left" w:pos="1418"/>
          <w:tab w:val="right" w:leader="dot" w:pos="6520"/>
        </w:tabs>
        <w:spacing w:line="360" w:lineRule="auto"/>
        <w:ind w:left="1701" w:right="141" w:hanging="1417"/>
        <w:jc w:val="both"/>
        <w:rPr>
          <w:rFonts w:eastAsiaTheme="minorEastAsia"/>
          <w:noProof/>
          <w:lang w:val="en-ID" w:eastAsia="en-ID"/>
        </w:rPr>
      </w:pPr>
      <w:hyperlink r:id="rId23" w:anchor="_Toc117260779" w:history="1">
        <w:r>
          <w:rPr>
            <w:rStyle w:val="Hyperlink"/>
            <w:b/>
            <w:bCs/>
            <w:noProof/>
          </w:rPr>
          <w:t>Gambar 2. 5</w:t>
        </w:r>
        <w:r>
          <w:rPr>
            <w:rStyle w:val="Hyperlink"/>
            <w:rFonts w:cs="Tahoma"/>
            <w:b/>
            <w:bCs/>
            <w:noProof/>
          </w:rPr>
          <w:t xml:space="preserve"> </w:t>
        </w:r>
        <w:r>
          <w:rPr>
            <w:rStyle w:val="Hyperlink"/>
            <w:rFonts w:cs="Tahoma"/>
            <w:b/>
            <w:bCs/>
            <w:noProof/>
          </w:rPr>
          <w:tab/>
          <w:t>Persentase Penduduk Kalimantan Tengah Menurut Suku Bangsa, 2010</w:t>
        </w:r>
        <w:r>
          <w:rPr>
            <w:noProof/>
            <w:webHidden/>
          </w:rPr>
          <w:tab/>
        </w:r>
        <w:r>
          <w:rPr>
            <w:noProof/>
            <w:webHidden/>
          </w:rPr>
          <w:fldChar w:fldCharType="begin"/>
        </w:r>
        <w:r>
          <w:rPr>
            <w:noProof/>
            <w:webHidden/>
          </w:rPr>
          <w:instrText xml:space="preserve"> PAGEREF _Toc117260779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right" w:leader="dot" w:pos="6520"/>
        </w:tabs>
        <w:spacing w:line="360" w:lineRule="auto"/>
        <w:ind w:left="1701" w:right="141" w:hanging="1417"/>
        <w:jc w:val="both"/>
        <w:rPr>
          <w:noProof/>
        </w:rPr>
      </w:pPr>
      <w:r>
        <w:rPr>
          <w:rFonts w:cstheme="minorHAnsi"/>
          <w:bCs/>
          <w:noProof/>
          <w:spacing w:val="-6"/>
          <w:lang w:val="en-US" w:eastAsia="id-ID"/>
        </w:rPr>
        <w:fldChar w:fldCharType="end"/>
      </w:r>
      <w:r>
        <w:rPr>
          <w:rFonts w:cstheme="minorHAnsi"/>
          <w:bCs/>
          <w:noProof/>
          <w:spacing w:val="-6"/>
          <w:lang w:val="en-US" w:eastAsia="id-ID"/>
        </w:rPr>
        <w:fldChar w:fldCharType="begin"/>
      </w:r>
      <w:r>
        <w:rPr>
          <w:rFonts w:cstheme="minorHAnsi"/>
          <w:bCs/>
          <w:noProof/>
          <w:spacing w:val="-6"/>
          <w:lang w:val="en-US" w:eastAsia="id-ID"/>
        </w:rPr>
        <w:instrText xml:space="preserve"> TOC \h \z \c "Gambar 3." </w:instrText>
      </w:r>
      <w:r>
        <w:rPr>
          <w:rFonts w:cstheme="minorHAnsi"/>
          <w:bCs/>
          <w:noProof/>
          <w:spacing w:val="-6"/>
          <w:lang w:val="en-US" w:eastAsia="id-ID"/>
        </w:rPr>
        <w:fldChar w:fldCharType="separate"/>
      </w:r>
      <w:hyperlink w:anchor="_Toc117455685" w:history="1">
        <w:r>
          <w:rPr>
            <w:rStyle w:val="Hyperlink"/>
            <w:b/>
            <w:bCs/>
            <w:noProof/>
          </w:rPr>
          <w:t>Gambar 3. 1</w:t>
        </w:r>
        <w:r>
          <w:rPr>
            <w:rStyle w:val="Hyperlink"/>
            <w:noProof/>
            <w:lang w:val="en-US"/>
          </w:rPr>
          <w:t xml:space="preserve"> </w:t>
        </w:r>
        <w:r>
          <w:rPr>
            <w:rFonts w:eastAsiaTheme="minorEastAsia"/>
            <w:noProof/>
            <w:lang w:val="en-ID" w:eastAsia="en-ID"/>
          </w:rPr>
          <w:tab/>
        </w:r>
        <w:r>
          <w:rPr>
            <w:rStyle w:val="Hyperlink"/>
            <w:b/>
            <w:bCs/>
            <w:noProof/>
          </w:rPr>
          <w:t>Jumlah dan Laju Pertumbuhan Penduduk Kalimantan Tengah 1971 – 2020.</w:t>
        </w:r>
        <w:r>
          <w:rPr>
            <w:noProof/>
            <w:webHidden/>
          </w:rPr>
          <w:tab/>
        </w:r>
        <w:r>
          <w:rPr>
            <w:noProof/>
            <w:webHidden/>
          </w:rPr>
          <w:fldChar w:fldCharType="begin"/>
        </w:r>
        <w:r>
          <w:rPr>
            <w:noProof/>
            <w:webHidden/>
          </w:rPr>
          <w:instrText xml:space="preserve"> PAGEREF _Toc117455685 \h </w:instrText>
        </w:r>
        <w:r>
          <w:rPr>
            <w:noProof/>
            <w:webHidden/>
          </w:rPr>
        </w:r>
        <w:r>
          <w:rPr>
            <w:noProof/>
            <w:webHidden/>
          </w:rPr>
          <w:fldChar w:fldCharType="separate"/>
        </w:r>
        <w:r>
          <w:rPr>
            <w:noProof/>
            <w:webHidden/>
          </w:rPr>
          <w:t>35</w:t>
        </w:r>
        <w:r>
          <w:rPr>
            <w:noProof/>
            <w:webHidden/>
          </w:rPr>
          <w:fldChar w:fldCharType="end"/>
        </w:r>
      </w:hyperlink>
    </w:p>
    <w:p>
      <w:pPr>
        <w:pStyle w:val="TableofFigures"/>
        <w:tabs>
          <w:tab w:val="left" w:pos="1540"/>
          <w:tab w:val="right" w:leader="dot" w:pos="6520"/>
        </w:tabs>
        <w:spacing w:line="360" w:lineRule="auto"/>
        <w:ind w:left="1701" w:right="141" w:hanging="1417"/>
        <w:jc w:val="both"/>
        <w:rPr>
          <w:rFonts w:eastAsiaTheme="minorEastAsia"/>
          <w:noProof/>
          <w:lang w:val="en-ID" w:eastAsia="en-ID"/>
        </w:rPr>
      </w:pPr>
      <w:hyperlink w:anchor="_Toc117455686" w:history="1">
        <w:r>
          <w:rPr>
            <w:rStyle w:val="Hyperlink"/>
            <w:b/>
            <w:bCs/>
            <w:noProof/>
          </w:rPr>
          <w:t>Gambar 3. 2</w:t>
        </w:r>
        <w:r>
          <w:rPr>
            <w:rStyle w:val="Hyperlink"/>
            <w:b/>
            <w:bCs/>
            <w:noProof/>
          </w:rPr>
          <w:tab/>
        </w:r>
        <w:r>
          <w:rPr>
            <w:rFonts w:eastAsiaTheme="minorEastAsia"/>
            <w:noProof/>
            <w:lang w:val="en-ID" w:eastAsia="en-ID"/>
          </w:rPr>
          <w:tab/>
        </w:r>
        <w:r>
          <w:rPr>
            <w:rStyle w:val="Hyperlink"/>
            <w:b/>
            <w:bCs/>
            <w:noProof/>
          </w:rPr>
          <w:t>Piramida Penduduk, 1971-2020</w:t>
        </w:r>
        <w:r>
          <w:rPr>
            <w:noProof/>
            <w:webHidden/>
          </w:rPr>
          <w:tab/>
        </w:r>
        <w:r>
          <w:rPr>
            <w:noProof/>
            <w:webHidden/>
          </w:rPr>
          <w:fldChar w:fldCharType="begin"/>
        </w:r>
        <w:r>
          <w:rPr>
            <w:noProof/>
            <w:webHidden/>
          </w:rPr>
          <w:instrText xml:space="preserve"> PAGEREF _Toc117455686 \h </w:instrText>
        </w:r>
        <w:r>
          <w:rPr>
            <w:noProof/>
            <w:webHidden/>
          </w:rPr>
        </w:r>
        <w:r>
          <w:rPr>
            <w:noProof/>
            <w:webHidden/>
          </w:rPr>
          <w:fldChar w:fldCharType="separate"/>
        </w:r>
        <w:r>
          <w:rPr>
            <w:noProof/>
            <w:webHidden/>
          </w:rPr>
          <w:t>38</w:t>
        </w:r>
        <w:r>
          <w:rPr>
            <w:noProof/>
            <w:webHidden/>
          </w:rPr>
          <w:fldChar w:fldCharType="end"/>
        </w:r>
      </w:hyperlink>
    </w:p>
    <w:p>
      <w:pPr>
        <w:pStyle w:val="TableofFigures"/>
        <w:tabs>
          <w:tab w:val="right" w:leader="dot" w:pos="6520"/>
        </w:tabs>
        <w:spacing w:line="360" w:lineRule="auto"/>
        <w:ind w:left="1701" w:right="141" w:hanging="1417"/>
        <w:jc w:val="both"/>
        <w:rPr>
          <w:noProof/>
        </w:rPr>
      </w:pPr>
      <w:hyperlink w:anchor="_Toc117455687" w:history="1">
        <w:r>
          <w:rPr>
            <w:rStyle w:val="Hyperlink"/>
            <w:b/>
            <w:bCs/>
            <w:noProof/>
          </w:rPr>
          <w:t>Gambar 3. 3</w:t>
        </w:r>
        <w:r>
          <w:rPr>
            <w:rFonts w:eastAsiaTheme="minorEastAsia"/>
            <w:noProof/>
            <w:lang w:val="en-ID" w:eastAsia="en-ID"/>
          </w:rPr>
          <w:tab/>
        </w:r>
        <w:r>
          <w:rPr>
            <w:rStyle w:val="Hyperlink"/>
            <w:rFonts w:cs="Calibri"/>
            <w:b/>
            <w:bCs/>
            <w:noProof/>
            <w:lang w:val="en-ID"/>
          </w:rPr>
          <w:t>Rasio Ketergantungan Total, Usia Muda, dan Usia Tua 1971-2020</w:t>
        </w:r>
        <w:r>
          <w:rPr>
            <w:noProof/>
            <w:webHidden/>
          </w:rPr>
          <w:tab/>
        </w:r>
        <w:r>
          <w:rPr>
            <w:noProof/>
            <w:webHidden/>
          </w:rPr>
          <w:fldChar w:fldCharType="begin"/>
        </w:r>
        <w:r>
          <w:rPr>
            <w:noProof/>
            <w:webHidden/>
          </w:rPr>
          <w:instrText xml:space="preserve"> PAGEREF _Toc117455687 \h </w:instrText>
        </w:r>
        <w:r>
          <w:rPr>
            <w:noProof/>
            <w:webHidden/>
          </w:rPr>
        </w:r>
        <w:r>
          <w:rPr>
            <w:noProof/>
            <w:webHidden/>
          </w:rPr>
          <w:fldChar w:fldCharType="separate"/>
        </w:r>
        <w:r>
          <w:rPr>
            <w:noProof/>
            <w:webHidden/>
          </w:rPr>
          <w:t>46</w:t>
        </w:r>
        <w:r>
          <w:rPr>
            <w:noProof/>
            <w:webHidden/>
          </w:rPr>
          <w:fldChar w:fldCharType="end"/>
        </w:r>
      </w:hyperlink>
    </w:p>
    <w:p>
      <w:pPr>
        <w:pStyle w:val="TableofFigures"/>
        <w:tabs>
          <w:tab w:val="left" w:pos="1701"/>
          <w:tab w:val="right" w:leader="dot" w:pos="6520"/>
        </w:tabs>
        <w:spacing w:line="360" w:lineRule="auto"/>
        <w:ind w:left="1701" w:right="141" w:hanging="1417"/>
        <w:jc w:val="both"/>
        <w:rPr>
          <w:noProof/>
        </w:rPr>
      </w:pPr>
      <w:r>
        <w:rPr>
          <w:rFonts w:cstheme="minorHAnsi"/>
          <w:bCs/>
          <w:noProof/>
          <w:spacing w:val="-6"/>
          <w:lang w:val="en-US" w:eastAsia="id-ID"/>
        </w:rPr>
        <w:fldChar w:fldCharType="end"/>
      </w:r>
      <w:r>
        <w:rPr>
          <w:rFonts w:cstheme="minorHAnsi"/>
          <w:bCs/>
          <w:noProof/>
          <w:spacing w:val="-6"/>
          <w:lang w:val="en-US" w:eastAsia="id-ID"/>
        </w:rPr>
        <w:fldChar w:fldCharType="begin"/>
      </w:r>
      <w:r>
        <w:rPr>
          <w:rFonts w:cstheme="minorHAnsi"/>
          <w:bCs/>
          <w:noProof/>
          <w:spacing w:val="-6"/>
          <w:lang w:val="en-US" w:eastAsia="id-ID"/>
        </w:rPr>
        <w:instrText xml:space="preserve"> TOC \h \z \c "Gambar 4." </w:instrText>
      </w:r>
      <w:r>
        <w:rPr>
          <w:rFonts w:cstheme="minorHAnsi"/>
          <w:bCs/>
          <w:noProof/>
          <w:spacing w:val="-6"/>
          <w:lang w:val="en-US" w:eastAsia="id-ID"/>
        </w:rPr>
        <w:fldChar w:fldCharType="separate"/>
      </w:r>
      <w:hyperlink w:anchor="_Toc117519606" w:history="1">
        <w:r>
          <w:rPr>
            <w:rStyle w:val="Hyperlink"/>
            <w:b/>
            <w:bCs/>
            <w:noProof/>
          </w:rPr>
          <w:t>Gambar 4. 1</w:t>
        </w:r>
        <w:r>
          <w:rPr>
            <w:rStyle w:val="Hyperlink"/>
            <w:b/>
            <w:bCs/>
            <w:noProof/>
            <w:lang w:val="en-US"/>
          </w:rPr>
          <w:t xml:space="preserve"> </w:t>
        </w:r>
        <w:r>
          <w:rPr>
            <w:rFonts w:eastAsiaTheme="minorEastAsia"/>
            <w:noProof/>
            <w:lang w:val="en-ID" w:eastAsia="en-ID"/>
          </w:rPr>
          <w:tab/>
        </w:r>
        <w:r>
          <w:rPr>
            <w:rStyle w:val="Hyperlink"/>
            <w:b/>
            <w:bCs/>
            <w:noProof/>
            <w:lang w:val="en-US"/>
          </w:rPr>
          <w:t>Angka Melek Huruf (AMH) Penduduk Umur 15 Tahun ke Atas Menurut Kabupaten/Kota dan Jenis Kelamin, Kalimantan Tengah 2021</w:t>
        </w:r>
        <w:r>
          <w:rPr>
            <w:noProof/>
            <w:webHidden/>
          </w:rPr>
          <w:tab/>
        </w:r>
        <w:r>
          <w:rPr>
            <w:noProof/>
            <w:webHidden/>
          </w:rPr>
          <w:fldChar w:fldCharType="begin"/>
        </w:r>
        <w:r>
          <w:rPr>
            <w:noProof/>
            <w:webHidden/>
          </w:rPr>
          <w:instrText xml:space="preserve"> PAGEREF _Toc117519606 \h </w:instrText>
        </w:r>
        <w:r>
          <w:rPr>
            <w:noProof/>
            <w:webHidden/>
          </w:rPr>
        </w:r>
        <w:r>
          <w:rPr>
            <w:noProof/>
            <w:webHidden/>
          </w:rPr>
          <w:fldChar w:fldCharType="separate"/>
        </w:r>
        <w:r>
          <w:rPr>
            <w:noProof/>
            <w:webHidden/>
          </w:rPr>
          <w:t>76</w:t>
        </w:r>
        <w:r>
          <w:rPr>
            <w:noProof/>
            <w:webHidden/>
          </w:rPr>
          <w:fldChar w:fldCharType="end"/>
        </w:r>
      </w:hyperlink>
    </w:p>
    <w:p>
      <w:pPr>
        <w:pStyle w:val="TableofFigures"/>
        <w:tabs>
          <w:tab w:val="left" w:pos="1560"/>
          <w:tab w:val="right" w:leader="dot" w:pos="5812"/>
          <w:tab w:val="right" w:leader="dot" w:pos="6379"/>
          <w:tab w:val="right" w:leader="dot" w:pos="6520"/>
          <w:tab w:val="right" w:leader="dot" w:pos="6663"/>
        </w:tabs>
        <w:spacing w:line="360" w:lineRule="auto"/>
        <w:ind w:left="1701" w:right="141" w:hanging="1417"/>
        <w:jc w:val="both"/>
        <w:rPr>
          <w:noProof/>
        </w:rPr>
      </w:pPr>
      <w:r>
        <w:rPr>
          <w:rFonts w:cstheme="minorHAnsi"/>
          <w:bCs/>
          <w:noProof/>
          <w:spacing w:val="-6"/>
          <w:lang w:val="en-US" w:eastAsia="id-ID"/>
        </w:rPr>
        <w:fldChar w:fldCharType="end"/>
      </w:r>
      <w:r>
        <w:rPr>
          <w:rFonts w:cstheme="minorHAnsi"/>
          <w:bCs/>
          <w:noProof/>
          <w:spacing w:val="-6"/>
          <w:lang w:val="en-US" w:eastAsia="id-ID"/>
        </w:rPr>
        <w:fldChar w:fldCharType="begin"/>
      </w:r>
      <w:r>
        <w:rPr>
          <w:rFonts w:cstheme="minorHAnsi"/>
          <w:bCs/>
          <w:noProof/>
          <w:spacing w:val="-6"/>
          <w:lang w:val="en-US" w:eastAsia="id-ID"/>
        </w:rPr>
        <w:instrText xml:space="preserve"> TOC \h \z \c "Gambar 5." </w:instrText>
      </w:r>
      <w:r>
        <w:rPr>
          <w:rFonts w:cstheme="minorHAnsi"/>
          <w:bCs/>
          <w:noProof/>
          <w:spacing w:val="-6"/>
          <w:lang w:val="en-US" w:eastAsia="id-ID"/>
        </w:rPr>
        <w:fldChar w:fldCharType="separate"/>
      </w:r>
    </w:p>
    <w:p>
      <w:pPr>
        <w:pStyle w:val="TableofFigures"/>
        <w:tabs>
          <w:tab w:val="right" w:leader="dot" w:pos="6520"/>
        </w:tabs>
        <w:spacing w:line="360" w:lineRule="auto"/>
        <w:ind w:left="1701" w:right="141" w:hanging="1417"/>
        <w:jc w:val="both"/>
        <w:rPr>
          <w:rFonts w:eastAsiaTheme="minorEastAsia"/>
          <w:noProof/>
          <w:lang w:val="en-ID" w:eastAsia="en-ID"/>
        </w:rPr>
      </w:pPr>
      <w:hyperlink w:anchor="_Toc117519618" w:history="1">
        <w:r>
          <w:rPr>
            <w:rStyle w:val="Hyperlink"/>
            <w:b/>
            <w:bCs/>
            <w:noProof/>
          </w:rPr>
          <w:t>Gambar 5. 1</w:t>
        </w:r>
        <w:r>
          <w:rPr>
            <w:rFonts w:eastAsiaTheme="minorEastAsia"/>
            <w:noProof/>
            <w:lang w:val="en-ID" w:eastAsia="en-ID"/>
          </w:rPr>
          <w:tab/>
        </w:r>
        <w:r>
          <w:rPr>
            <w:rStyle w:val="Hyperlink"/>
            <w:rFonts w:hAnsi="Calibri"/>
            <w:b/>
            <w:bCs/>
            <w:noProof/>
          </w:rPr>
          <w:t>Persentase Perempuan Berumur 15-49 Tahun yang Pernah Melahirkan dalam 2 Tahun Terakhir Menurut Kabupaten/Kota dan Penolong Proses Kelahiran Terakhir, 2021</w:t>
        </w:r>
        <w:r>
          <w:rPr>
            <w:noProof/>
            <w:webHidden/>
          </w:rPr>
          <w:tab/>
        </w:r>
        <w:r>
          <w:rPr>
            <w:noProof/>
            <w:webHidden/>
          </w:rPr>
          <w:fldChar w:fldCharType="begin"/>
        </w:r>
        <w:r>
          <w:rPr>
            <w:noProof/>
            <w:webHidden/>
          </w:rPr>
          <w:instrText xml:space="preserve"> PAGEREF _Toc117519618 \h </w:instrText>
        </w:r>
        <w:r>
          <w:rPr>
            <w:noProof/>
            <w:webHidden/>
          </w:rPr>
        </w:r>
        <w:r>
          <w:rPr>
            <w:noProof/>
            <w:webHidden/>
          </w:rPr>
          <w:fldChar w:fldCharType="separate"/>
        </w:r>
        <w:r>
          <w:rPr>
            <w:noProof/>
            <w:webHidden/>
          </w:rPr>
          <w:t>107</w:t>
        </w:r>
        <w:r>
          <w:rPr>
            <w:noProof/>
            <w:webHidden/>
          </w:rPr>
          <w:fldChar w:fldCharType="end"/>
        </w:r>
      </w:hyperlink>
    </w:p>
    <w:p>
      <w:pPr>
        <w:pStyle w:val="TableofFigures"/>
        <w:tabs>
          <w:tab w:val="right" w:leader="dot" w:pos="6520"/>
        </w:tabs>
        <w:spacing w:line="360" w:lineRule="auto"/>
        <w:ind w:left="1701" w:right="141" w:hanging="1417"/>
        <w:jc w:val="both"/>
        <w:rPr>
          <w:rFonts w:eastAsiaTheme="minorEastAsia"/>
          <w:noProof/>
          <w:lang w:val="en-ID" w:eastAsia="en-ID"/>
        </w:rPr>
      </w:pPr>
      <w:hyperlink w:anchor="_Toc117519619" w:history="1">
        <w:r>
          <w:rPr>
            <w:rStyle w:val="Hyperlink"/>
            <w:b/>
            <w:bCs/>
            <w:noProof/>
          </w:rPr>
          <w:t>Gambar 5. 2</w:t>
        </w:r>
        <w:r>
          <w:rPr>
            <w:rFonts w:eastAsiaTheme="minorEastAsia"/>
            <w:noProof/>
            <w:lang w:val="en-ID" w:eastAsia="en-ID"/>
          </w:rPr>
          <w:tab/>
        </w:r>
        <w:r>
          <w:rPr>
            <w:rStyle w:val="Hyperlink"/>
            <w:rFonts w:hAnsi="Calibri"/>
            <w:b/>
            <w:bCs/>
            <w:noProof/>
          </w:rPr>
          <w:t>Persentase Perempuan Pernah Kawin Umur 15-49 Tahun Menurut Kabupaten/Kota dan Status Penggunaan Alat KB atau Cara Tradisional untuk Menunda atau Mencegah Kehamilan, 2021</w:t>
        </w:r>
        <w:r>
          <w:rPr>
            <w:noProof/>
            <w:webHidden/>
          </w:rPr>
          <w:tab/>
        </w:r>
        <w:r>
          <w:rPr>
            <w:noProof/>
            <w:webHidden/>
          </w:rPr>
          <w:fldChar w:fldCharType="begin"/>
        </w:r>
        <w:r>
          <w:rPr>
            <w:noProof/>
            <w:webHidden/>
          </w:rPr>
          <w:instrText xml:space="preserve"> PAGEREF _Toc117519619 \h </w:instrText>
        </w:r>
        <w:r>
          <w:rPr>
            <w:noProof/>
            <w:webHidden/>
          </w:rPr>
        </w:r>
        <w:r>
          <w:rPr>
            <w:noProof/>
            <w:webHidden/>
          </w:rPr>
          <w:fldChar w:fldCharType="separate"/>
        </w:r>
        <w:r>
          <w:rPr>
            <w:noProof/>
            <w:webHidden/>
          </w:rPr>
          <w:t>108</w:t>
        </w:r>
        <w:r>
          <w:rPr>
            <w:noProof/>
            <w:webHidden/>
          </w:rPr>
          <w:fldChar w:fldCharType="end"/>
        </w:r>
      </w:hyperlink>
    </w:p>
    <w:p>
      <w:pPr>
        <w:pStyle w:val="TableofFigures"/>
        <w:tabs>
          <w:tab w:val="right" w:leader="dot" w:pos="6520"/>
        </w:tabs>
        <w:spacing w:line="360" w:lineRule="auto"/>
        <w:ind w:left="1701" w:right="141" w:hanging="1417"/>
        <w:jc w:val="both"/>
        <w:rPr>
          <w:rFonts w:eastAsiaTheme="minorEastAsia"/>
          <w:noProof/>
          <w:lang w:val="en-ID" w:eastAsia="en-ID"/>
        </w:rPr>
      </w:pPr>
      <w:hyperlink w:anchor="_Toc117519620" w:history="1">
        <w:r>
          <w:rPr>
            <w:rStyle w:val="Hyperlink"/>
            <w:b/>
            <w:bCs/>
            <w:noProof/>
          </w:rPr>
          <w:t>Gambar 5. 3</w:t>
        </w:r>
        <w:r>
          <w:rPr>
            <w:rFonts w:eastAsiaTheme="minorEastAsia"/>
            <w:noProof/>
            <w:lang w:val="en-ID" w:eastAsia="en-ID"/>
          </w:rPr>
          <w:tab/>
        </w:r>
        <w:r>
          <w:rPr>
            <w:rStyle w:val="Hyperlink"/>
            <w:rFonts w:cstheme="minorHAnsi"/>
            <w:b/>
            <w:bCs/>
            <w:noProof/>
          </w:rPr>
          <w:t>Persentase Perempuan Umur 10 Tahun Ke Atas Pernah Kawin Menurut Umur Perkawinan Pertama, 2019-2021</w:t>
        </w:r>
        <w:r>
          <w:rPr>
            <w:noProof/>
            <w:webHidden/>
          </w:rPr>
          <w:tab/>
        </w:r>
        <w:r>
          <w:rPr>
            <w:noProof/>
            <w:webHidden/>
          </w:rPr>
          <w:fldChar w:fldCharType="begin"/>
        </w:r>
        <w:r>
          <w:rPr>
            <w:noProof/>
            <w:webHidden/>
          </w:rPr>
          <w:instrText xml:space="preserve"> PAGEREF _Toc117519620 \h </w:instrText>
        </w:r>
        <w:r>
          <w:rPr>
            <w:noProof/>
            <w:webHidden/>
          </w:rPr>
        </w:r>
        <w:r>
          <w:rPr>
            <w:noProof/>
            <w:webHidden/>
          </w:rPr>
          <w:fldChar w:fldCharType="separate"/>
        </w:r>
        <w:r>
          <w:rPr>
            <w:noProof/>
            <w:webHidden/>
          </w:rPr>
          <w:t>111</w:t>
        </w:r>
        <w:r>
          <w:rPr>
            <w:noProof/>
            <w:webHidden/>
          </w:rPr>
          <w:fldChar w:fldCharType="end"/>
        </w:r>
      </w:hyperlink>
    </w:p>
    <w:p>
      <w:pPr>
        <w:pStyle w:val="TableofFigures"/>
        <w:tabs>
          <w:tab w:val="right" w:leader="dot" w:pos="6520"/>
        </w:tabs>
        <w:spacing w:line="360" w:lineRule="auto"/>
        <w:ind w:left="1701" w:right="141" w:hanging="1417"/>
        <w:jc w:val="both"/>
        <w:rPr>
          <w:rFonts w:eastAsiaTheme="minorEastAsia"/>
          <w:noProof/>
          <w:lang w:val="en-ID" w:eastAsia="en-ID"/>
        </w:rPr>
      </w:pPr>
      <w:r>
        <w:rPr>
          <w:rFonts w:cstheme="minorHAnsi"/>
          <w:bCs/>
          <w:noProof/>
          <w:spacing w:val="-6"/>
          <w:lang w:val="en-US" w:eastAsia="id-ID"/>
        </w:rPr>
        <w:fldChar w:fldCharType="end"/>
      </w:r>
      <w:r>
        <w:rPr>
          <w:rFonts w:cstheme="minorHAnsi"/>
          <w:bCs/>
          <w:noProof/>
          <w:spacing w:val="-6"/>
          <w:lang w:val="en-US" w:eastAsia="id-ID"/>
        </w:rPr>
        <w:fldChar w:fldCharType="begin"/>
      </w:r>
      <w:r>
        <w:rPr>
          <w:rFonts w:cstheme="minorHAnsi"/>
          <w:bCs/>
          <w:noProof/>
          <w:spacing w:val="-6"/>
          <w:lang w:val="en-US" w:eastAsia="id-ID"/>
        </w:rPr>
        <w:instrText xml:space="preserve"> TOC \h \z \c "Gambar 6." </w:instrText>
      </w:r>
      <w:r>
        <w:rPr>
          <w:rFonts w:cstheme="minorHAnsi"/>
          <w:bCs/>
          <w:noProof/>
          <w:spacing w:val="-6"/>
          <w:lang w:val="en-US" w:eastAsia="id-ID"/>
        </w:rPr>
        <w:fldChar w:fldCharType="separate"/>
      </w:r>
      <w:hyperlink w:anchor="_Toc117550267" w:history="1">
        <w:r>
          <w:rPr>
            <w:rStyle w:val="Hyperlink"/>
            <w:b/>
            <w:bCs/>
            <w:noProof/>
          </w:rPr>
          <w:t>Gambar 6. 1</w:t>
        </w:r>
        <w:r>
          <w:rPr>
            <w:rFonts w:eastAsiaTheme="minorEastAsia"/>
            <w:noProof/>
            <w:lang w:val="en-ID" w:eastAsia="en-ID"/>
          </w:rPr>
          <w:tab/>
        </w:r>
        <w:r>
          <w:rPr>
            <w:rStyle w:val="Hyperlink"/>
            <w:b/>
            <w:bCs/>
            <w:noProof/>
          </w:rPr>
          <w:t>Persentase  Anggota DPRD Menurut Kabupaten/Kota dan Jenis Kelamin, 2021</w:t>
        </w:r>
        <w:r>
          <w:rPr>
            <w:noProof/>
            <w:webHidden/>
          </w:rPr>
          <w:tab/>
        </w:r>
        <w:r>
          <w:rPr>
            <w:noProof/>
            <w:webHidden/>
          </w:rPr>
          <w:fldChar w:fldCharType="begin"/>
        </w:r>
        <w:r>
          <w:rPr>
            <w:noProof/>
            <w:webHidden/>
          </w:rPr>
          <w:instrText xml:space="preserve"> PAGEREF _Toc117550267 \h </w:instrText>
        </w:r>
        <w:r>
          <w:rPr>
            <w:noProof/>
            <w:webHidden/>
          </w:rPr>
        </w:r>
        <w:r>
          <w:rPr>
            <w:noProof/>
            <w:webHidden/>
          </w:rPr>
          <w:fldChar w:fldCharType="separate"/>
        </w:r>
        <w:r>
          <w:rPr>
            <w:noProof/>
            <w:webHidden/>
          </w:rPr>
          <w:t>120</w:t>
        </w:r>
        <w:r>
          <w:rPr>
            <w:noProof/>
            <w:webHidden/>
          </w:rPr>
          <w:fldChar w:fldCharType="end"/>
        </w:r>
      </w:hyperlink>
    </w:p>
    <w:p>
      <w:pPr>
        <w:pStyle w:val="TableofFigures"/>
        <w:tabs>
          <w:tab w:val="right" w:leader="dot" w:pos="6520"/>
        </w:tabs>
        <w:spacing w:line="360" w:lineRule="auto"/>
        <w:ind w:left="1701" w:right="141" w:hanging="1417"/>
        <w:jc w:val="both"/>
        <w:rPr>
          <w:rFonts w:cstheme="minorHAnsi"/>
          <w:bCs/>
          <w:noProof/>
          <w:spacing w:val="-6"/>
          <w:lang w:val="en-US" w:eastAsia="id-ID"/>
        </w:rPr>
      </w:pPr>
      <w:r>
        <w:rPr>
          <w:rFonts w:cstheme="minorHAnsi"/>
          <w:bCs/>
          <w:noProof/>
          <w:spacing w:val="-6"/>
          <w:lang w:val="en-US" w:eastAsia="id-ID"/>
        </w:rPr>
        <w:fldChar w:fldCharType="end"/>
      </w:r>
      <w:r>
        <w:rPr>
          <w:rFonts w:cstheme="minorHAnsi"/>
          <w:bCs/>
          <w:noProof/>
          <w:spacing w:val="-6"/>
          <w:lang w:val="en-US" w:eastAsia="id-ID"/>
        </w:rPr>
        <w:fldChar w:fldCharType="begin"/>
      </w:r>
      <w:r>
        <w:rPr>
          <w:rFonts w:cstheme="minorHAnsi"/>
          <w:bCs/>
          <w:noProof/>
          <w:spacing w:val="-6"/>
          <w:lang w:val="en-US" w:eastAsia="id-ID"/>
        </w:rPr>
        <w:instrText xml:space="preserve"> TOC \h \z \c "Gambar 7." </w:instrText>
      </w:r>
      <w:r>
        <w:rPr>
          <w:rFonts w:cstheme="minorHAnsi"/>
          <w:bCs/>
          <w:noProof/>
          <w:spacing w:val="-6"/>
          <w:lang w:val="en-US" w:eastAsia="id-ID"/>
        </w:rPr>
        <w:fldChar w:fldCharType="separate"/>
      </w:r>
      <w:hyperlink w:anchor="_Toc117519628" w:history="1">
        <w:r>
          <w:rPr>
            <w:rStyle w:val="Hyperlink"/>
            <w:b/>
            <w:bCs/>
            <w:noProof/>
          </w:rPr>
          <w:t>Gambar 7. 1</w:t>
        </w:r>
        <w:r>
          <w:rPr>
            <w:rFonts w:eastAsiaTheme="minorEastAsia"/>
            <w:noProof/>
            <w:lang w:val="en-ID" w:eastAsia="en-ID"/>
          </w:rPr>
          <w:tab/>
        </w:r>
        <w:r>
          <w:rPr>
            <w:rStyle w:val="Hyperlink"/>
            <w:b/>
            <w:bCs/>
            <w:noProof/>
          </w:rPr>
          <w:t>TPAK Menurut Kelompok Umur dan Jenis Kelamin, 2021</w:t>
        </w:r>
        <w:r>
          <w:rPr>
            <w:noProof/>
            <w:webHidden/>
          </w:rPr>
          <w:tab/>
        </w:r>
        <w:r>
          <w:rPr>
            <w:noProof/>
            <w:webHidden/>
          </w:rPr>
          <w:fldChar w:fldCharType="begin"/>
        </w:r>
        <w:r>
          <w:rPr>
            <w:noProof/>
            <w:webHidden/>
          </w:rPr>
          <w:instrText xml:space="preserve"> PAGEREF _Toc117519628 \h </w:instrText>
        </w:r>
        <w:r>
          <w:rPr>
            <w:noProof/>
            <w:webHidden/>
          </w:rPr>
        </w:r>
        <w:r>
          <w:rPr>
            <w:noProof/>
            <w:webHidden/>
          </w:rPr>
          <w:fldChar w:fldCharType="separate"/>
        </w:r>
        <w:r>
          <w:rPr>
            <w:noProof/>
            <w:webHidden/>
          </w:rPr>
          <w:t>140</w:t>
        </w:r>
        <w:r>
          <w:rPr>
            <w:noProof/>
            <w:webHidden/>
          </w:rPr>
          <w:fldChar w:fldCharType="end"/>
        </w:r>
      </w:hyperlink>
    </w:p>
    <w:p>
      <w:pPr>
        <w:pStyle w:val="TableofFigures"/>
        <w:tabs>
          <w:tab w:val="right" w:leader="dot" w:pos="6520"/>
        </w:tabs>
        <w:spacing w:line="360" w:lineRule="auto"/>
        <w:ind w:left="1701" w:right="141" w:hanging="1417"/>
        <w:jc w:val="both"/>
        <w:rPr>
          <w:rFonts w:eastAsiaTheme="minorEastAsia"/>
          <w:noProof/>
          <w:lang w:val="en-ID" w:eastAsia="en-ID"/>
        </w:rPr>
      </w:pPr>
      <w:hyperlink w:anchor="_Toc117519629" w:history="1">
        <w:r>
          <w:rPr>
            <w:rStyle w:val="Hyperlink"/>
            <w:b/>
            <w:bCs/>
            <w:noProof/>
          </w:rPr>
          <w:t>Gambar 7. 2</w:t>
        </w:r>
        <w:r>
          <w:rPr>
            <w:rFonts w:eastAsiaTheme="minorEastAsia"/>
            <w:noProof/>
            <w:lang w:val="en-ID" w:eastAsia="en-ID"/>
          </w:rPr>
          <w:tab/>
        </w:r>
        <w:r>
          <w:rPr>
            <w:rStyle w:val="Hyperlink"/>
            <w:b/>
            <w:bCs/>
            <w:noProof/>
          </w:rPr>
          <w:t>Persentase Pekerja Informal menurut jenis kelamin, 2020-2021</w:t>
        </w:r>
        <w:r>
          <w:rPr>
            <w:noProof/>
            <w:webHidden/>
          </w:rPr>
          <w:tab/>
        </w:r>
        <w:r>
          <w:rPr>
            <w:noProof/>
            <w:webHidden/>
          </w:rPr>
          <w:fldChar w:fldCharType="begin"/>
        </w:r>
        <w:r>
          <w:rPr>
            <w:noProof/>
            <w:webHidden/>
          </w:rPr>
          <w:instrText xml:space="preserve"> PAGEREF _Toc117519629 \h </w:instrText>
        </w:r>
        <w:r>
          <w:rPr>
            <w:noProof/>
            <w:webHidden/>
          </w:rPr>
        </w:r>
        <w:r>
          <w:rPr>
            <w:noProof/>
            <w:webHidden/>
          </w:rPr>
          <w:fldChar w:fldCharType="separate"/>
        </w:r>
        <w:r>
          <w:rPr>
            <w:noProof/>
            <w:webHidden/>
          </w:rPr>
          <w:t>144</w:t>
        </w:r>
        <w:r>
          <w:rPr>
            <w:noProof/>
            <w:webHidden/>
          </w:rPr>
          <w:fldChar w:fldCharType="end"/>
        </w:r>
      </w:hyperlink>
    </w:p>
    <w:p>
      <w:pPr>
        <w:pStyle w:val="TableofFigures"/>
        <w:tabs>
          <w:tab w:val="left" w:pos="1843"/>
          <w:tab w:val="right" w:leader="dot" w:pos="6520"/>
        </w:tabs>
        <w:spacing w:line="360" w:lineRule="auto"/>
        <w:ind w:left="1701" w:right="141" w:hanging="1417"/>
        <w:jc w:val="both"/>
        <w:rPr>
          <w:rFonts w:eastAsiaTheme="minorEastAsia"/>
          <w:noProof/>
          <w:lang w:val="en-ID" w:eastAsia="en-ID"/>
        </w:rPr>
      </w:pPr>
      <w:hyperlink w:anchor="_Toc117519630" w:history="1">
        <w:r>
          <w:rPr>
            <w:rStyle w:val="Hyperlink"/>
            <w:b/>
            <w:bCs/>
            <w:noProof/>
          </w:rPr>
          <w:t>Gambar 7. 3</w:t>
        </w:r>
        <w:r>
          <w:rPr>
            <w:rFonts w:eastAsiaTheme="minorEastAsia"/>
            <w:noProof/>
            <w:lang w:val="en-ID" w:eastAsia="en-ID"/>
          </w:rPr>
          <w:tab/>
        </w:r>
        <w:r>
          <w:rPr>
            <w:rStyle w:val="Hyperlink"/>
            <w:b/>
            <w:bCs/>
            <w:noProof/>
          </w:rPr>
          <w:t>Persentase Pekerja Tak Dibayar Menurut Jenis Kelamin, 2020-2021</w:t>
        </w:r>
        <w:r>
          <w:rPr>
            <w:noProof/>
            <w:webHidden/>
          </w:rPr>
          <w:tab/>
        </w:r>
        <w:r>
          <w:rPr>
            <w:noProof/>
            <w:webHidden/>
          </w:rPr>
          <w:fldChar w:fldCharType="begin"/>
        </w:r>
        <w:r>
          <w:rPr>
            <w:noProof/>
            <w:webHidden/>
          </w:rPr>
          <w:instrText xml:space="preserve"> PAGEREF _Toc117519630 \h </w:instrText>
        </w:r>
        <w:r>
          <w:rPr>
            <w:noProof/>
            <w:webHidden/>
          </w:rPr>
        </w:r>
        <w:r>
          <w:rPr>
            <w:noProof/>
            <w:webHidden/>
          </w:rPr>
          <w:fldChar w:fldCharType="separate"/>
        </w:r>
        <w:r>
          <w:rPr>
            <w:noProof/>
            <w:webHidden/>
          </w:rPr>
          <w:t>147</w:t>
        </w:r>
        <w:r>
          <w:rPr>
            <w:noProof/>
            <w:webHidden/>
          </w:rPr>
          <w:fldChar w:fldCharType="end"/>
        </w:r>
      </w:hyperlink>
    </w:p>
    <w:p>
      <w:pPr>
        <w:pStyle w:val="TableofFigures"/>
        <w:tabs>
          <w:tab w:val="left" w:pos="1560"/>
          <w:tab w:val="right" w:leader="dot" w:pos="6520"/>
        </w:tabs>
        <w:spacing w:line="360" w:lineRule="auto"/>
        <w:ind w:left="1701" w:right="141" w:hanging="1417"/>
        <w:jc w:val="both"/>
        <w:rPr>
          <w:rFonts w:eastAsiaTheme="minorEastAsia"/>
          <w:noProof/>
          <w:lang w:val="en-ID" w:eastAsia="en-ID"/>
        </w:rPr>
      </w:pPr>
      <w:hyperlink w:anchor="_Toc117519631" w:history="1">
        <w:r>
          <w:rPr>
            <w:rStyle w:val="Hyperlink"/>
            <w:b/>
            <w:bCs/>
            <w:noProof/>
          </w:rPr>
          <w:t>Gambar 7. 4</w:t>
        </w:r>
        <w:r>
          <w:rPr>
            <w:rFonts w:eastAsiaTheme="minorEastAsia"/>
            <w:noProof/>
            <w:lang w:val="en-ID" w:eastAsia="en-ID"/>
          </w:rPr>
          <w:tab/>
        </w:r>
        <w:r>
          <w:rPr>
            <w:rStyle w:val="Hyperlink"/>
            <w:b/>
            <w:bCs/>
            <w:noProof/>
          </w:rPr>
          <w:t>Perkembangan TPT Provinsi Kalimantan Tengah, 2019-2021</w:t>
        </w:r>
        <w:r>
          <w:rPr>
            <w:noProof/>
            <w:webHidden/>
          </w:rPr>
          <w:tab/>
        </w:r>
        <w:r>
          <w:rPr>
            <w:noProof/>
            <w:webHidden/>
          </w:rPr>
          <w:fldChar w:fldCharType="begin"/>
        </w:r>
        <w:r>
          <w:rPr>
            <w:noProof/>
            <w:webHidden/>
          </w:rPr>
          <w:instrText xml:space="preserve"> PAGEREF _Toc117519631 \h </w:instrText>
        </w:r>
        <w:r>
          <w:rPr>
            <w:noProof/>
            <w:webHidden/>
          </w:rPr>
        </w:r>
        <w:r>
          <w:rPr>
            <w:noProof/>
            <w:webHidden/>
          </w:rPr>
          <w:fldChar w:fldCharType="separate"/>
        </w:r>
        <w:r>
          <w:rPr>
            <w:noProof/>
            <w:webHidden/>
          </w:rPr>
          <w:t>153</w:t>
        </w:r>
        <w:r>
          <w:rPr>
            <w:noProof/>
            <w:webHidden/>
          </w:rPr>
          <w:fldChar w:fldCharType="end"/>
        </w:r>
      </w:hyperlink>
    </w:p>
    <w:p>
      <w:pPr>
        <w:pStyle w:val="TableofFigures"/>
        <w:tabs>
          <w:tab w:val="left" w:pos="1843"/>
          <w:tab w:val="right" w:leader="dot" w:pos="6520"/>
        </w:tabs>
        <w:spacing w:line="360" w:lineRule="auto"/>
        <w:ind w:left="1701" w:right="141" w:hanging="1417"/>
        <w:jc w:val="both"/>
        <w:rPr>
          <w:rFonts w:eastAsiaTheme="minorEastAsia"/>
          <w:noProof/>
          <w:lang w:val="en-ID" w:eastAsia="en-ID"/>
        </w:rPr>
      </w:pPr>
      <w:hyperlink w:anchor="_Toc117519632" w:history="1">
        <w:r>
          <w:rPr>
            <w:rStyle w:val="Hyperlink"/>
            <w:b/>
            <w:bCs/>
            <w:noProof/>
          </w:rPr>
          <w:t>Gambar 7. 5</w:t>
        </w:r>
        <w:r>
          <w:rPr>
            <w:rFonts w:eastAsiaTheme="minorEastAsia"/>
            <w:noProof/>
            <w:lang w:val="en-ID" w:eastAsia="en-ID"/>
          </w:rPr>
          <w:tab/>
        </w:r>
        <w:r>
          <w:rPr>
            <w:rStyle w:val="Hyperlink"/>
            <w:b/>
            <w:bCs/>
            <w:noProof/>
          </w:rPr>
          <w:t>Persentase Tenaga Kerja Laki-laki dan Perempuan Menurut Lapangan Pekerjaan/Usaha, 2021</w:t>
        </w:r>
        <w:r>
          <w:rPr>
            <w:noProof/>
            <w:webHidden/>
          </w:rPr>
          <w:tab/>
        </w:r>
        <w:r>
          <w:rPr>
            <w:noProof/>
            <w:webHidden/>
          </w:rPr>
          <w:fldChar w:fldCharType="begin"/>
        </w:r>
        <w:r>
          <w:rPr>
            <w:noProof/>
            <w:webHidden/>
          </w:rPr>
          <w:instrText xml:space="preserve"> PAGEREF _Toc117519632 \h </w:instrText>
        </w:r>
        <w:r>
          <w:rPr>
            <w:noProof/>
            <w:webHidden/>
          </w:rPr>
        </w:r>
        <w:r>
          <w:rPr>
            <w:noProof/>
            <w:webHidden/>
          </w:rPr>
          <w:fldChar w:fldCharType="separate"/>
        </w:r>
        <w:r>
          <w:rPr>
            <w:noProof/>
            <w:webHidden/>
          </w:rPr>
          <w:t>159</w:t>
        </w:r>
        <w:r>
          <w:rPr>
            <w:noProof/>
            <w:webHidden/>
          </w:rPr>
          <w:fldChar w:fldCharType="end"/>
        </w:r>
      </w:hyperlink>
    </w:p>
    <w:p>
      <w:pPr>
        <w:pStyle w:val="TableofFigures"/>
        <w:tabs>
          <w:tab w:val="right" w:leader="dot" w:pos="6520"/>
        </w:tabs>
        <w:spacing w:line="360" w:lineRule="auto"/>
        <w:ind w:left="1701" w:right="141" w:hanging="1417"/>
        <w:jc w:val="both"/>
        <w:rPr>
          <w:noProof/>
        </w:rPr>
      </w:pPr>
      <w:r>
        <w:rPr>
          <w:rFonts w:cstheme="minorHAnsi"/>
          <w:bCs/>
          <w:noProof/>
          <w:spacing w:val="-6"/>
          <w:lang w:val="en-US" w:eastAsia="id-ID"/>
        </w:rPr>
        <w:fldChar w:fldCharType="end"/>
      </w:r>
      <w:r>
        <w:rPr>
          <w:rFonts w:cstheme="minorHAnsi"/>
          <w:bCs/>
          <w:noProof/>
          <w:spacing w:val="-6"/>
          <w:lang w:val="en-US" w:eastAsia="id-ID"/>
        </w:rPr>
        <w:fldChar w:fldCharType="begin"/>
      </w:r>
      <w:r>
        <w:rPr>
          <w:rFonts w:cstheme="minorHAnsi"/>
          <w:bCs/>
          <w:noProof/>
          <w:spacing w:val="-6"/>
          <w:lang w:val="en-US" w:eastAsia="id-ID"/>
        </w:rPr>
        <w:instrText xml:space="preserve"> TOC \h \z \c "Gambar 8." </w:instrText>
      </w:r>
      <w:r>
        <w:rPr>
          <w:rFonts w:cstheme="minorHAnsi"/>
          <w:bCs/>
          <w:noProof/>
          <w:spacing w:val="-6"/>
          <w:lang w:val="en-US" w:eastAsia="id-ID"/>
        </w:rPr>
        <w:fldChar w:fldCharType="separate"/>
      </w:r>
      <w:hyperlink w:anchor="_Toc117552837" w:history="1">
        <w:r>
          <w:rPr>
            <w:rStyle w:val="Hyperlink"/>
            <w:b/>
            <w:bCs/>
            <w:noProof/>
          </w:rPr>
          <w:t>Gambar 8. 1</w:t>
        </w:r>
        <w:r>
          <w:rPr>
            <w:rFonts w:eastAsiaTheme="minorEastAsia"/>
            <w:noProof/>
            <w:lang w:val="en-ID" w:eastAsia="en-ID"/>
          </w:rPr>
          <w:tab/>
        </w:r>
        <w:r>
          <w:rPr>
            <w:rStyle w:val="Hyperlink"/>
            <w:rFonts w:cstheme="minorHAnsi"/>
            <w:b/>
            <w:bCs/>
            <w:noProof/>
          </w:rPr>
          <w:t>Pencapaian IDG Menurut Kabupaten/Kota, 2021</w:t>
        </w:r>
        <w:r>
          <w:rPr>
            <w:rStyle w:val="Hyperlink"/>
            <w:rFonts w:cstheme="minorHAnsi"/>
            <w:b/>
            <w:bCs/>
            <w:noProof/>
          </w:rPr>
          <w:tab/>
        </w:r>
        <w:r>
          <w:rPr>
            <w:noProof/>
            <w:webHidden/>
          </w:rPr>
          <w:fldChar w:fldCharType="begin"/>
        </w:r>
        <w:r>
          <w:rPr>
            <w:noProof/>
            <w:webHidden/>
          </w:rPr>
          <w:instrText xml:space="preserve"> PAGEREF _Toc117552837 \h </w:instrText>
        </w:r>
        <w:r>
          <w:rPr>
            <w:noProof/>
            <w:webHidden/>
          </w:rPr>
        </w:r>
        <w:r>
          <w:rPr>
            <w:noProof/>
            <w:webHidden/>
          </w:rPr>
          <w:fldChar w:fldCharType="separate"/>
        </w:r>
        <w:r>
          <w:rPr>
            <w:noProof/>
            <w:webHidden/>
          </w:rPr>
          <w:t>166</w:t>
        </w:r>
        <w:r>
          <w:rPr>
            <w:noProof/>
            <w:webHidden/>
          </w:rPr>
          <w:fldChar w:fldCharType="end"/>
        </w:r>
      </w:hyperlink>
    </w:p>
    <w:p>
      <w:pPr>
        <w:pStyle w:val="TableofFigures"/>
        <w:tabs>
          <w:tab w:val="right" w:leader="dot" w:pos="6520"/>
        </w:tabs>
        <w:spacing w:line="360" w:lineRule="auto"/>
        <w:ind w:left="1701" w:right="141" w:hanging="1417"/>
        <w:jc w:val="both"/>
        <w:rPr>
          <w:rFonts w:eastAsiaTheme="minorEastAsia"/>
          <w:noProof/>
          <w:lang w:val="en-ID" w:eastAsia="en-ID"/>
        </w:rPr>
      </w:pPr>
      <w:hyperlink w:anchor="_Toc117552838" w:history="1">
        <w:r>
          <w:rPr>
            <w:rStyle w:val="Hyperlink"/>
            <w:b/>
            <w:bCs/>
            <w:noProof/>
          </w:rPr>
          <w:t>Gambar 8. 2</w:t>
        </w:r>
        <w:r>
          <w:rPr>
            <w:rFonts w:eastAsiaTheme="minorEastAsia"/>
            <w:noProof/>
            <w:lang w:val="en-ID" w:eastAsia="en-ID"/>
          </w:rPr>
          <w:tab/>
        </w:r>
        <w:r>
          <w:rPr>
            <w:rStyle w:val="Hyperlink"/>
            <w:rFonts w:cstheme="minorHAnsi"/>
            <w:b/>
            <w:bCs/>
            <w:noProof/>
          </w:rPr>
          <w:t>Pencapaian Komponen IDG Kalimantan Tengah, 2021</w:t>
        </w:r>
        <w:r>
          <w:rPr>
            <w:rStyle w:val="Hyperlink"/>
            <w:rFonts w:cstheme="minorHAnsi"/>
            <w:b/>
            <w:bCs/>
            <w:noProof/>
          </w:rPr>
          <w:tab/>
        </w:r>
        <w:r>
          <w:rPr>
            <w:noProof/>
            <w:webHidden/>
          </w:rPr>
          <w:fldChar w:fldCharType="begin"/>
        </w:r>
        <w:r>
          <w:rPr>
            <w:noProof/>
            <w:webHidden/>
          </w:rPr>
          <w:instrText xml:space="preserve"> PAGEREF _Toc117552838 \h </w:instrText>
        </w:r>
        <w:r>
          <w:rPr>
            <w:noProof/>
            <w:webHidden/>
          </w:rPr>
        </w:r>
        <w:r>
          <w:rPr>
            <w:noProof/>
            <w:webHidden/>
          </w:rPr>
          <w:fldChar w:fldCharType="separate"/>
        </w:r>
        <w:r>
          <w:rPr>
            <w:noProof/>
            <w:webHidden/>
          </w:rPr>
          <w:t>168</w:t>
        </w:r>
        <w:r>
          <w:rPr>
            <w:noProof/>
            <w:webHidden/>
          </w:rPr>
          <w:fldChar w:fldCharType="end"/>
        </w:r>
      </w:hyperlink>
    </w:p>
    <w:p>
      <w:pPr>
        <w:pStyle w:val="TableofFigures"/>
        <w:tabs>
          <w:tab w:val="left" w:pos="1843"/>
          <w:tab w:val="right" w:leader="dot" w:pos="6520"/>
        </w:tabs>
        <w:spacing w:line="360" w:lineRule="auto"/>
        <w:ind w:left="1701" w:right="141" w:hanging="1417"/>
        <w:jc w:val="both"/>
        <w:rPr>
          <w:rFonts w:eastAsiaTheme="minorEastAsia"/>
          <w:noProof/>
          <w:lang w:val="en-ID" w:eastAsia="en-ID"/>
        </w:rPr>
      </w:pPr>
      <w:hyperlink w:anchor="_Toc117552839" w:history="1">
        <w:r>
          <w:rPr>
            <w:rStyle w:val="Hyperlink"/>
            <w:b/>
            <w:bCs/>
            <w:noProof/>
          </w:rPr>
          <w:t>Gambar 8. 3</w:t>
        </w:r>
        <w:r>
          <w:rPr>
            <w:rFonts w:eastAsiaTheme="minorEastAsia"/>
            <w:noProof/>
            <w:lang w:val="en-ID" w:eastAsia="en-ID"/>
          </w:rPr>
          <w:tab/>
        </w:r>
        <w:r>
          <w:rPr>
            <w:rFonts w:eastAsiaTheme="minorEastAsia"/>
            <w:b/>
            <w:bCs/>
            <w:noProof/>
            <w:lang w:val="en-ID" w:eastAsia="en-ID"/>
          </w:rPr>
          <w:t>P</w:t>
        </w:r>
        <w:r>
          <w:rPr>
            <w:rStyle w:val="Hyperlink"/>
            <w:rFonts w:cstheme="minorHAnsi"/>
            <w:b/>
            <w:bCs/>
            <w:noProof/>
          </w:rPr>
          <w:t>encapaian Peran Perempuan di Parlemen Kalimantan Tengah, 2021</w:t>
        </w:r>
        <w:r>
          <w:rPr>
            <w:noProof/>
            <w:webHidden/>
          </w:rPr>
          <w:tab/>
        </w:r>
        <w:r>
          <w:rPr>
            <w:noProof/>
            <w:webHidden/>
          </w:rPr>
          <w:fldChar w:fldCharType="begin"/>
        </w:r>
        <w:r>
          <w:rPr>
            <w:noProof/>
            <w:webHidden/>
          </w:rPr>
          <w:instrText xml:space="preserve"> PAGEREF _Toc117552839 \h </w:instrText>
        </w:r>
        <w:r>
          <w:rPr>
            <w:noProof/>
            <w:webHidden/>
          </w:rPr>
        </w:r>
        <w:r>
          <w:rPr>
            <w:noProof/>
            <w:webHidden/>
          </w:rPr>
          <w:fldChar w:fldCharType="separate"/>
        </w:r>
        <w:r>
          <w:rPr>
            <w:noProof/>
            <w:webHidden/>
          </w:rPr>
          <w:t>169</w:t>
        </w:r>
        <w:r>
          <w:rPr>
            <w:noProof/>
            <w:webHidden/>
          </w:rPr>
          <w:fldChar w:fldCharType="end"/>
        </w:r>
      </w:hyperlink>
    </w:p>
    <w:p>
      <w:pPr>
        <w:pStyle w:val="TableofFigures"/>
        <w:tabs>
          <w:tab w:val="left" w:pos="1843"/>
          <w:tab w:val="right" w:leader="dot" w:pos="6520"/>
        </w:tabs>
        <w:spacing w:line="360" w:lineRule="auto"/>
        <w:ind w:left="1701" w:right="141" w:hanging="1417"/>
        <w:jc w:val="both"/>
        <w:rPr>
          <w:rFonts w:eastAsiaTheme="minorEastAsia"/>
          <w:noProof/>
          <w:lang w:val="en-ID" w:eastAsia="en-ID"/>
        </w:rPr>
      </w:pPr>
      <w:hyperlink w:anchor="_Toc117552840" w:history="1">
        <w:r>
          <w:rPr>
            <w:rStyle w:val="Hyperlink"/>
            <w:b/>
            <w:bCs/>
            <w:noProof/>
          </w:rPr>
          <w:t>Gambar 8. 4</w:t>
        </w:r>
        <w:r>
          <w:rPr>
            <w:rFonts w:eastAsiaTheme="minorEastAsia"/>
            <w:noProof/>
            <w:lang w:val="en-ID" w:eastAsia="en-ID"/>
          </w:rPr>
          <w:tab/>
        </w:r>
        <w:r>
          <w:rPr>
            <w:rStyle w:val="Hyperlink"/>
            <w:rFonts w:cstheme="minorHAnsi"/>
            <w:b/>
            <w:bCs/>
            <w:noProof/>
          </w:rPr>
          <w:t>Pencapaian Peran Perempuan sebagai Tenaga Professional Kalimantan Tengah, 2021</w:t>
        </w:r>
        <w:r>
          <w:rPr>
            <w:noProof/>
            <w:webHidden/>
          </w:rPr>
          <w:tab/>
        </w:r>
        <w:r>
          <w:rPr>
            <w:noProof/>
            <w:webHidden/>
          </w:rPr>
          <w:fldChar w:fldCharType="begin"/>
        </w:r>
        <w:r>
          <w:rPr>
            <w:noProof/>
            <w:webHidden/>
          </w:rPr>
          <w:instrText xml:space="preserve"> PAGEREF _Toc117552840 \h </w:instrText>
        </w:r>
        <w:r>
          <w:rPr>
            <w:noProof/>
            <w:webHidden/>
          </w:rPr>
        </w:r>
        <w:r>
          <w:rPr>
            <w:noProof/>
            <w:webHidden/>
          </w:rPr>
          <w:fldChar w:fldCharType="separate"/>
        </w:r>
        <w:r>
          <w:rPr>
            <w:noProof/>
            <w:webHidden/>
          </w:rPr>
          <w:t>171</w:t>
        </w:r>
        <w:r>
          <w:rPr>
            <w:noProof/>
            <w:webHidden/>
          </w:rPr>
          <w:fldChar w:fldCharType="end"/>
        </w:r>
      </w:hyperlink>
    </w:p>
    <w:p>
      <w:pPr>
        <w:pStyle w:val="TableofFigures"/>
        <w:tabs>
          <w:tab w:val="left" w:pos="1701"/>
          <w:tab w:val="right" w:leader="dot" w:pos="6520"/>
        </w:tabs>
        <w:spacing w:line="360" w:lineRule="auto"/>
        <w:ind w:left="1701" w:right="141" w:hanging="1417"/>
        <w:jc w:val="both"/>
        <w:rPr>
          <w:rFonts w:eastAsiaTheme="minorEastAsia"/>
          <w:noProof/>
          <w:lang w:val="en-ID" w:eastAsia="en-ID"/>
        </w:rPr>
      </w:pPr>
      <w:hyperlink w:anchor="_Toc117552841" w:history="1">
        <w:r>
          <w:rPr>
            <w:rStyle w:val="Hyperlink"/>
            <w:b/>
            <w:bCs/>
            <w:noProof/>
          </w:rPr>
          <w:t>Gambar 8. 5</w:t>
        </w:r>
        <w:r>
          <w:rPr>
            <w:rFonts w:eastAsiaTheme="minorEastAsia"/>
            <w:noProof/>
            <w:lang w:val="en-ID" w:eastAsia="en-ID"/>
          </w:rPr>
          <w:tab/>
        </w:r>
        <w:r>
          <w:rPr>
            <w:rStyle w:val="Hyperlink"/>
            <w:rFonts w:cstheme="minorHAnsi"/>
            <w:b/>
            <w:bCs/>
            <w:noProof/>
          </w:rPr>
          <w:t>Pencapaian TPAK Menurut Jenis Kelamin Kalimantan Tengah, 2021</w:t>
        </w:r>
        <w:r>
          <w:rPr>
            <w:noProof/>
            <w:webHidden/>
          </w:rPr>
          <w:tab/>
        </w:r>
        <w:r>
          <w:rPr>
            <w:noProof/>
            <w:webHidden/>
          </w:rPr>
          <w:fldChar w:fldCharType="begin"/>
        </w:r>
        <w:r>
          <w:rPr>
            <w:noProof/>
            <w:webHidden/>
          </w:rPr>
          <w:instrText xml:space="preserve"> PAGEREF _Toc117552841 \h </w:instrText>
        </w:r>
        <w:r>
          <w:rPr>
            <w:noProof/>
            <w:webHidden/>
          </w:rPr>
        </w:r>
        <w:r>
          <w:rPr>
            <w:noProof/>
            <w:webHidden/>
          </w:rPr>
          <w:fldChar w:fldCharType="separate"/>
        </w:r>
        <w:r>
          <w:rPr>
            <w:noProof/>
            <w:webHidden/>
          </w:rPr>
          <w:t>172</w:t>
        </w:r>
        <w:r>
          <w:rPr>
            <w:noProof/>
            <w:webHidden/>
          </w:rPr>
          <w:fldChar w:fldCharType="end"/>
        </w:r>
      </w:hyperlink>
    </w:p>
    <w:p>
      <w:pPr>
        <w:pStyle w:val="TableofFigures"/>
        <w:tabs>
          <w:tab w:val="left" w:pos="1320"/>
          <w:tab w:val="left" w:pos="1701"/>
          <w:tab w:val="right" w:leader="dot" w:pos="6520"/>
        </w:tabs>
        <w:spacing w:line="360" w:lineRule="auto"/>
        <w:ind w:left="1701" w:right="141" w:hanging="1417"/>
        <w:jc w:val="both"/>
        <w:rPr>
          <w:rFonts w:eastAsiaTheme="minorEastAsia"/>
          <w:noProof/>
          <w:lang w:val="en-ID" w:eastAsia="en-ID"/>
        </w:rPr>
      </w:pPr>
      <w:hyperlink w:anchor="_Toc117552842" w:history="1">
        <w:r>
          <w:rPr>
            <w:rStyle w:val="Hyperlink"/>
            <w:noProof/>
          </w:rPr>
          <w:t>Gambar 8. 6</w:t>
        </w:r>
        <w:r>
          <w:rPr>
            <w:rFonts w:eastAsiaTheme="minorEastAsia"/>
            <w:noProof/>
            <w:lang w:val="en-ID" w:eastAsia="en-ID"/>
          </w:rPr>
          <w:tab/>
        </w:r>
        <w:r>
          <w:rPr>
            <w:rStyle w:val="Hyperlink"/>
            <w:rFonts w:cstheme="minorHAnsi"/>
            <w:b/>
            <w:noProof/>
          </w:rPr>
          <w:t>Pencapaian IDG Menurut Kabupaten/Kota di Kalimantan Tengah, 2021</w:t>
        </w:r>
        <w:r>
          <w:rPr>
            <w:noProof/>
            <w:webHidden/>
          </w:rPr>
          <w:tab/>
        </w:r>
        <w:r>
          <w:rPr>
            <w:noProof/>
            <w:webHidden/>
          </w:rPr>
          <w:fldChar w:fldCharType="begin"/>
        </w:r>
        <w:r>
          <w:rPr>
            <w:noProof/>
            <w:webHidden/>
          </w:rPr>
          <w:instrText xml:space="preserve"> PAGEREF _Toc117552842 \h </w:instrText>
        </w:r>
        <w:r>
          <w:rPr>
            <w:noProof/>
            <w:webHidden/>
          </w:rPr>
        </w:r>
        <w:r>
          <w:rPr>
            <w:noProof/>
            <w:webHidden/>
          </w:rPr>
          <w:fldChar w:fldCharType="separate"/>
        </w:r>
        <w:r>
          <w:rPr>
            <w:noProof/>
            <w:webHidden/>
          </w:rPr>
          <w:t>174</w:t>
        </w:r>
        <w:r>
          <w:rPr>
            <w:noProof/>
            <w:webHidden/>
          </w:rPr>
          <w:fldChar w:fldCharType="end"/>
        </w:r>
      </w:hyperlink>
    </w:p>
    <w:p>
      <w:pPr>
        <w:pStyle w:val="TableofFigures"/>
        <w:tabs>
          <w:tab w:val="right" w:leader="dot" w:pos="6520"/>
          <w:tab w:val="right" w:leader="dot" w:pos="7371"/>
        </w:tabs>
        <w:spacing w:line="360" w:lineRule="auto"/>
        <w:ind w:left="1701" w:right="141" w:hanging="1417"/>
        <w:jc w:val="both"/>
        <w:rPr>
          <w:rFonts w:eastAsiaTheme="minorEastAsia"/>
          <w:noProof/>
          <w:lang w:val="en-ID" w:eastAsia="en-ID"/>
        </w:rPr>
      </w:pPr>
      <w:r>
        <w:rPr>
          <w:rFonts w:cstheme="minorHAnsi"/>
          <w:bCs/>
          <w:noProof/>
          <w:spacing w:val="-6"/>
          <w:lang w:val="en-US" w:eastAsia="id-ID"/>
        </w:rPr>
        <w:fldChar w:fldCharType="end"/>
      </w:r>
      <w:r>
        <w:rPr>
          <w:rFonts w:cstheme="minorHAnsi"/>
        </w:rPr>
        <w:fldChar w:fldCharType="begin"/>
      </w:r>
      <w:r>
        <w:rPr>
          <w:rFonts w:cstheme="minorHAnsi"/>
        </w:rPr>
        <w:instrText xml:space="preserve"> TOC \h \z \c "Gambar 9." </w:instrText>
      </w:r>
      <w:r>
        <w:rPr>
          <w:rFonts w:cstheme="minorHAnsi"/>
        </w:rPr>
        <w:fldChar w:fldCharType="separate"/>
      </w:r>
      <w:hyperlink w:anchor="_Toc117555584" w:history="1">
        <w:r>
          <w:rPr>
            <w:rStyle w:val="Hyperlink"/>
            <w:b/>
            <w:bCs/>
            <w:noProof/>
          </w:rPr>
          <w:t>Gambar 9. 1</w:t>
        </w:r>
        <w:r>
          <w:rPr>
            <w:rFonts w:eastAsiaTheme="minorEastAsia"/>
            <w:noProof/>
            <w:lang w:val="en-ID" w:eastAsia="en-ID"/>
          </w:rPr>
          <w:tab/>
        </w:r>
        <w:r>
          <w:rPr>
            <w:rStyle w:val="Hyperlink"/>
            <w:rFonts w:cstheme="minorHAnsi"/>
            <w:b/>
            <w:bCs/>
            <w:noProof/>
          </w:rPr>
          <w:t>Pencapaian IPG Kalimantan Tengah dan Indonesia, 2017-2021</w:t>
        </w:r>
        <w:r>
          <w:rPr>
            <w:noProof/>
            <w:webHidden/>
          </w:rPr>
          <w:tab/>
        </w:r>
        <w:r>
          <w:rPr>
            <w:noProof/>
            <w:webHidden/>
          </w:rPr>
          <w:fldChar w:fldCharType="begin"/>
        </w:r>
        <w:r>
          <w:rPr>
            <w:noProof/>
            <w:webHidden/>
          </w:rPr>
          <w:instrText xml:space="preserve"> PAGEREF _Toc117555584 \h </w:instrText>
        </w:r>
        <w:r>
          <w:rPr>
            <w:noProof/>
            <w:webHidden/>
          </w:rPr>
        </w:r>
        <w:r>
          <w:rPr>
            <w:noProof/>
            <w:webHidden/>
          </w:rPr>
          <w:fldChar w:fldCharType="separate"/>
        </w:r>
        <w:r>
          <w:rPr>
            <w:noProof/>
            <w:webHidden/>
          </w:rPr>
          <w:t>184</w:t>
        </w:r>
        <w:r>
          <w:rPr>
            <w:noProof/>
            <w:webHidden/>
          </w:rPr>
          <w:fldChar w:fldCharType="end"/>
        </w:r>
      </w:hyperlink>
    </w:p>
    <w:p>
      <w:pPr>
        <w:pStyle w:val="TableofFigures"/>
        <w:tabs>
          <w:tab w:val="right" w:leader="dot" w:pos="6520"/>
        </w:tabs>
        <w:spacing w:line="360" w:lineRule="auto"/>
        <w:ind w:left="1701" w:right="141" w:hanging="1417"/>
        <w:jc w:val="both"/>
        <w:rPr>
          <w:rFonts w:eastAsiaTheme="minorEastAsia"/>
          <w:noProof/>
          <w:lang w:val="en-ID" w:eastAsia="en-ID"/>
        </w:rPr>
      </w:pPr>
      <w:hyperlink w:anchor="_Toc117555585" w:history="1">
        <w:r>
          <w:rPr>
            <w:rStyle w:val="Hyperlink"/>
            <w:b/>
            <w:bCs/>
            <w:noProof/>
          </w:rPr>
          <w:t>Gambar 9. 2</w:t>
        </w:r>
        <w:r>
          <w:rPr>
            <w:rStyle w:val="Hyperlink"/>
            <w:b/>
            <w:bCs/>
            <w:noProof/>
            <w:lang w:val="en-US"/>
          </w:rPr>
          <w:t xml:space="preserve"> </w:t>
        </w:r>
        <w:r>
          <w:rPr>
            <w:rFonts w:eastAsiaTheme="minorEastAsia"/>
            <w:noProof/>
            <w:lang w:val="en-ID" w:eastAsia="en-ID"/>
          </w:rPr>
          <w:tab/>
        </w:r>
        <w:r>
          <w:rPr>
            <w:rStyle w:val="Hyperlink"/>
            <w:b/>
            <w:bCs/>
            <w:noProof/>
            <w:lang w:val="en-US"/>
          </w:rPr>
          <w:t>Umur Harapan Hidup (UHH) Kalimantan Tengah Menurut Jenis Kelamin, 2019-2021 (dalam tahun)</w:t>
        </w:r>
        <w:r>
          <w:rPr>
            <w:noProof/>
            <w:webHidden/>
          </w:rPr>
          <w:tab/>
        </w:r>
        <w:r>
          <w:rPr>
            <w:noProof/>
            <w:webHidden/>
            <w:lang w:val="en-US"/>
          </w:rPr>
          <w:t>…</w:t>
        </w:r>
        <w:r>
          <w:rPr>
            <w:noProof/>
            <w:webHidden/>
          </w:rPr>
          <w:fldChar w:fldCharType="begin"/>
        </w:r>
        <w:r>
          <w:rPr>
            <w:noProof/>
            <w:webHidden/>
          </w:rPr>
          <w:instrText xml:space="preserve"> PAGEREF _Toc117555585 \h </w:instrText>
        </w:r>
        <w:r>
          <w:rPr>
            <w:noProof/>
            <w:webHidden/>
          </w:rPr>
        </w:r>
        <w:r>
          <w:rPr>
            <w:noProof/>
            <w:webHidden/>
          </w:rPr>
          <w:fldChar w:fldCharType="separate"/>
        </w:r>
        <w:r>
          <w:rPr>
            <w:noProof/>
            <w:webHidden/>
          </w:rPr>
          <w:t>186</w:t>
        </w:r>
        <w:r>
          <w:rPr>
            <w:noProof/>
            <w:webHidden/>
          </w:rPr>
          <w:fldChar w:fldCharType="end"/>
        </w:r>
      </w:hyperlink>
    </w:p>
    <w:p>
      <w:pPr>
        <w:pStyle w:val="TableofFigures"/>
        <w:tabs>
          <w:tab w:val="left" w:pos="1701"/>
          <w:tab w:val="right" w:leader="dot" w:pos="6520"/>
        </w:tabs>
        <w:spacing w:line="360" w:lineRule="auto"/>
        <w:ind w:left="1701" w:right="141" w:hanging="1417"/>
        <w:jc w:val="both"/>
        <w:rPr>
          <w:rFonts w:eastAsiaTheme="minorEastAsia"/>
          <w:noProof/>
          <w:lang w:val="en-ID" w:eastAsia="en-ID"/>
        </w:rPr>
      </w:pPr>
      <w:hyperlink w:anchor="_Toc117555586" w:history="1">
        <w:r>
          <w:rPr>
            <w:rStyle w:val="Hyperlink"/>
            <w:b/>
            <w:bCs/>
            <w:noProof/>
          </w:rPr>
          <w:t>Gambar 9. 3</w:t>
        </w:r>
        <w:r>
          <w:rPr>
            <w:rFonts w:eastAsiaTheme="minorEastAsia"/>
            <w:noProof/>
            <w:lang w:val="en-ID" w:eastAsia="en-ID"/>
          </w:rPr>
          <w:tab/>
        </w:r>
        <w:r>
          <w:rPr>
            <w:rStyle w:val="Hyperlink"/>
            <w:rFonts w:cstheme="minorHAnsi"/>
            <w:b/>
            <w:bCs/>
            <w:noProof/>
          </w:rPr>
          <w:t>Pencapaian Harapan Lama Sekolah (HLS) Kalimantan Tengah Menurut Jenis Kelamin, 2019-2021 (dalam tahun)</w:t>
        </w:r>
        <w:r>
          <w:rPr>
            <w:noProof/>
            <w:webHidden/>
          </w:rPr>
          <w:tab/>
        </w:r>
        <w:r>
          <w:rPr>
            <w:noProof/>
            <w:webHidden/>
          </w:rPr>
          <w:fldChar w:fldCharType="begin"/>
        </w:r>
        <w:r>
          <w:rPr>
            <w:noProof/>
            <w:webHidden/>
          </w:rPr>
          <w:instrText xml:space="preserve"> PAGEREF _Toc117555586 \h </w:instrText>
        </w:r>
        <w:r>
          <w:rPr>
            <w:noProof/>
            <w:webHidden/>
          </w:rPr>
        </w:r>
        <w:r>
          <w:rPr>
            <w:noProof/>
            <w:webHidden/>
          </w:rPr>
          <w:fldChar w:fldCharType="separate"/>
        </w:r>
        <w:r>
          <w:rPr>
            <w:noProof/>
            <w:webHidden/>
          </w:rPr>
          <w:t>188</w:t>
        </w:r>
        <w:r>
          <w:rPr>
            <w:noProof/>
            <w:webHidden/>
          </w:rPr>
          <w:fldChar w:fldCharType="end"/>
        </w:r>
      </w:hyperlink>
    </w:p>
    <w:p>
      <w:pPr>
        <w:pStyle w:val="TableofFigures"/>
        <w:tabs>
          <w:tab w:val="left" w:pos="1701"/>
          <w:tab w:val="right" w:leader="dot" w:pos="6520"/>
        </w:tabs>
        <w:spacing w:line="360" w:lineRule="auto"/>
        <w:ind w:left="1701" w:right="141" w:hanging="1417"/>
        <w:jc w:val="both"/>
        <w:rPr>
          <w:rFonts w:eastAsiaTheme="minorEastAsia"/>
          <w:noProof/>
          <w:lang w:val="en-ID" w:eastAsia="en-ID"/>
        </w:rPr>
      </w:pPr>
      <w:hyperlink w:anchor="_Toc117555587" w:history="1">
        <w:r>
          <w:rPr>
            <w:rStyle w:val="Hyperlink"/>
            <w:b/>
            <w:bCs/>
            <w:noProof/>
          </w:rPr>
          <w:t>Gambar 9. 4</w:t>
        </w:r>
        <w:r>
          <w:rPr>
            <w:rFonts w:eastAsiaTheme="minorEastAsia"/>
            <w:noProof/>
            <w:lang w:val="en-ID" w:eastAsia="en-ID"/>
          </w:rPr>
          <w:tab/>
        </w:r>
        <w:r>
          <w:rPr>
            <w:rStyle w:val="Hyperlink"/>
            <w:rFonts w:cstheme="minorHAnsi"/>
            <w:b/>
            <w:bCs/>
            <w:noProof/>
          </w:rPr>
          <w:t>Pencapaian Rata-rata Lama Sekolah (RLS) Kalimantan Tengah Menurut Jenis Kelamin, 2019-2021 (dalam tahun)</w:t>
        </w:r>
        <w:r>
          <w:rPr>
            <w:noProof/>
            <w:webHidden/>
          </w:rPr>
          <w:tab/>
        </w:r>
        <w:r>
          <w:rPr>
            <w:noProof/>
            <w:webHidden/>
          </w:rPr>
          <w:fldChar w:fldCharType="begin"/>
        </w:r>
        <w:r>
          <w:rPr>
            <w:noProof/>
            <w:webHidden/>
          </w:rPr>
          <w:instrText xml:space="preserve"> PAGEREF _Toc117555587 \h </w:instrText>
        </w:r>
        <w:r>
          <w:rPr>
            <w:noProof/>
            <w:webHidden/>
          </w:rPr>
        </w:r>
        <w:r>
          <w:rPr>
            <w:noProof/>
            <w:webHidden/>
          </w:rPr>
          <w:fldChar w:fldCharType="separate"/>
        </w:r>
        <w:r>
          <w:rPr>
            <w:noProof/>
            <w:webHidden/>
          </w:rPr>
          <w:t>189</w:t>
        </w:r>
        <w:r>
          <w:rPr>
            <w:noProof/>
            <w:webHidden/>
          </w:rPr>
          <w:fldChar w:fldCharType="end"/>
        </w:r>
      </w:hyperlink>
    </w:p>
    <w:p>
      <w:pPr>
        <w:pStyle w:val="TableofFigures"/>
        <w:tabs>
          <w:tab w:val="left" w:pos="1701"/>
          <w:tab w:val="right" w:leader="dot" w:pos="6520"/>
        </w:tabs>
        <w:spacing w:line="360" w:lineRule="auto"/>
        <w:ind w:left="1701" w:right="141" w:hanging="1417"/>
        <w:jc w:val="both"/>
        <w:rPr>
          <w:rFonts w:eastAsiaTheme="minorEastAsia"/>
          <w:noProof/>
          <w:lang w:val="en-ID" w:eastAsia="en-ID"/>
        </w:rPr>
      </w:pPr>
      <w:hyperlink w:anchor="_Toc117555588" w:history="1">
        <w:r>
          <w:rPr>
            <w:rStyle w:val="Hyperlink"/>
            <w:b/>
            <w:bCs/>
            <w:noProof/>
          </w:rPr>
          <w:t>Gambar 9. 5</w:t>
        </w:r>
        <w:r>
          <w:rPr>
            <w:rFonts w:eastAsiaTheme="minorEastAsia"/>
            <w:noProof/>
            <w:lang w:val="en-ID" w:eastAsia="en-ID"/>
          </w:rPr>
          <w:tab/>
        </w:r>
        <w:r>
          <w:rPr>
            <w:rStyle w:val="Hyperlink"/>
            <w:b/>
            <w:bCs/>
            <w:noProof/>
            <w:lang w:val="en-US"/>
          </w:rPr>
          <w:t xml:space="preserve"> </w:t>
        </w:r>
        <w:r>
          <w:rPr>
            <w:rStyle w:val="Hyperlink"/>
            <w:rFonts w:cstheme="minorHAnsi"/>
            <w:b/>
            <w:bCs/>
            <w:noProof/>
          </w:rPr>
          <w:t xml:space="preserve">Pengeluaran per Kapita yang Disesuaikan Kalimantan Tengah </w:t>
        </w:r>
        <w:r>
          <w:rPr>
            <w:rStyle w:val="Hyperlink"/>
            <w:rFonts w:cstheme="minorHAnsi"/>
            <w:b/>
            <w:bCs/>
            <w:noProof/>
            <w:lang w:val="en-US"/>
          </w:rPr>
          <w:t xml:space="preserve"> </w:t>
        </w:r>
        <w:r>
          <w:rPr>
            <w:rStyle w:val="Hyperlink"/>
            <w:rFonts w:cstheme="minorHAnsi"/>
            <w:b/>
            <w:bCs/>
            <w:noProof/>
          </w:rPr>
          <w:t>Menurut Jenis Kelamin, 2019-2021 (dalam juta rupiah)</w:t>
        </w:r>
        <w:r>
          <w:rPr>
            <w:noProof/>
            <w:webHidden/>
          </w:rPr>
          <w:tab/>
        </w:r>
        <w:r>
          <w:rPr>
            <w:noProof/>
            <w:webHidden/>
          </w:rPr>
          <w:fldChar w:fldCharType="begin"/>
        </w:r>
        <w:r>
          <w:rPr>
            <w:noProof/>
            <w:webHidden/>
          </w:rPr>
          <w:instrText xml:space="preserve"> PAGEREF _Toc117555588 \h </w:instrText>
        </w:r>
        <w:r>
          <w:rPr>
            <w:noProof/>
            <w:webHidden/>
          </w:rPr>
        </w:r>
        <w:r>
          <w:rPr>
            <w:noProof/>
            <w:webHidden/>
          </w:rPr>
          <w:fldChar w:fldCharType="separate"/>
        </w:r>
        <w:r>
          <w:rPr>
            <w:noProof/>
            <w:webHidden/>
          </w:rPr>
          <w:t>192</w:t>
        </w:r>
        <w:r>
          <w:rPr>
            <w:noProof/>
            <w:webHidden/>
          </w:rPr>
          <w:fldChar w:fldCharType="end"/>
        </w:r>
      </w:hyperlink>
    </w:p>
    <w:p>
      <w:pPr>
        <w:pStyle w:val="TableofFigures"/>
        <w:tabs>
          <w:tab w:val="left" w:pos="1701"/>
          <w:tab w:val="right" w:leader="dot" w:pos="6520"/>
        </w:tabs>
        <w:spacing w:line="360" w:lineRule="auto"/>
        <w:ind w:left="1701" w:right="141" w:hanging="1417"/>
        <w:jc w:val="both"/>
        <w:rPr>
          <w:rFonts w:eastAsiaTheme="minorEastAsia"/>
          <w:noProof/>
          <w:lang w:val="en-ID" w:eastAsia="en-ID"/>
        </w:rPr>
      </w:pPr>
      <w:hyperlink w:anchor="_Toc117555589" w:history="1">
        <w:r>
          <w:rPr>
            <w:rStyle w:val="Hyperlink"/>
            <w:b/>
            <w:bCs/>
            <w:noProof/>
          </w:rPr>
          <w:t>Gambar 9. 6</w:t>
        </w:r>
        <w:r>
          <w:rPr>
            <w:rFonts w:eastAsiaTheme="minorEastAsia"/>
            <w:noProof/>
            <w:lang w:val="en-ID" w:eastAsia="en-ID"/>
          </w:rPr>
          <w:tab/>
        </w:r>
        <w:r>
          <w:rPr>
            <w:rStyle w:val="Hyperlink"/>
            <w:rFonts w:cstheme="minorHAnsi"/>
            <w:b/>
            <w:bCs/>
            <w:noProof/>
          </w:rPr>
          <w:t>Pencapaian IPG Menurut Kabupaten/Kota di Kalimantan Tengah, 2021</w:t>
        </w:r>
        <w:r>
          <w:rPr>
            <w:noProof/>
            <w:webHidden/>
          </w:rPr>
          <w:tab/>
        </w:r>
        <w:r>
          <w:rPr>
            <w:noProof/>
            <w:webHidden/>
          </w:rPr>
          <w:fldChar w:fldCharType="begin"/>
        </w:r>
        <w:r>
          <w:rPr>
            <w:noProof/>
            <w:webHidden/>
          </w:rPr>
          <w:instrText xml:space="preserve"> PAGEREF _Toc117555589 \h </w:instrText>
        </w:r>
        <w:r>
          <w:rPr>
            <w:noProof/>
            <w:webHidden/>
          </w:rPr>
        </w:r>
        <w:r>
          <w:rPr>
            <w:noProof/>
            <w:webHidden/>
          </w:rPr>
          <w:fldChar w:fldCharType="separate"/>
        </w:r>
        <w:r>
          <w:rPr>
            <w:noProof/>
            <w:webHidden/>
          </w:rPr>
          <w:t>193</w:t>
        </w:r>
        <w:r>
          <w:rPr>
            <w:noProof/>
            <w:webHidden/>
          </w:rPr>
          <w:fldChar w:fldCharType="end"/>
        </w:r>
      </w:hyperlink>
    </w:p>
    <w:p>
      <w:pPr>
        <w:tabs>
          <w:tab w:val="left" w:pos="6379"/>
          <w:tab w:val="right" w:leader="dot" w:pos="6520"/>
        </w:tabs>
        <w:spacing w:after="0" w:line="360" w:lineRule="auto"/>
        <w:ind w:left="1701" w:right="-143" w:hanging="1417"/>
        <w:jc w:val="both"/>
        <w:rPr>
          <w:rFonts w:cstheme="minorHAnsi"/>
        </w:rPr>
      </w:pPr>
      <w:r>
        <w:rPr>
          <w:rFonts w:cstheme="minorHAnsi"/>
        </w:rPr>
        <w:fldChar w:fldCharType="end"/>
      </w: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r>
        <w:rPr>
          <w:noProof/>
          <w:lang w:val="en-ID" w:eastAsia="en-ID"/>
        </w:rPr>
        <w:lastRenderedPageBreak/>
        <mc:AlternateContent>
          <mc:Choice Requires="wps">
            <w:drawing>
              <wp:anchor distT="0" distB="0" distL="114300" distR="114300" simplePos="0" relativeHeight="251783680" behindDoc="0" locked="0" layoutInCell="1" allowOverlap="1">
                <wp:simplePos x="0" y="0"/>
                <wp:positionH relativeFrom="page">
                  <wp:posOffset>-100586</wp:posOffset>
                </wp:positionH>
                <wp:positionV relativeFrom="paragraph">
                  <wp:posOffset>5734916</wp:posOffset>
                </wp:positionV>
                <wp:extent cx="6715760" cy="843148"/>
                <wp:effectExtent l="0" t="0" r="27940" b="14605"/>
                <wp:wrapNone/>
                <wp:docPr id="8198" name="Rectangle 8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760" cy="8431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069701" id="Rectangle 8198" o:spid="_x0000_s1026" style="position:absolute;margin-left:-7.9pt;margin-top:451.55pt;width:528.8pt;height:66.4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" fillcolor="white [3212]" strokecolor="white [3212]" strokeweight="2pt">
                <v:path arrowok="t"/>
                <w10:wrap anchorx="page"/>
              </v:rect>
            </w:pict>
          </mc:Fallback>
        </mc:AlternateContent>
      </w:r>
      <w:r>
        <w:rPr>
          <w:noProof/>
          <w:lang w:val="en-ID" w:eastAsia="en-ID"/>
        </w:rPr>
        <mc:AlternateContent>
          <mc:Choice Requires="wps">
            <w:drawing>
              <wp:anchor distT="0" distB="0" distL="114300" distR="114300" simplePos="0" relativeHeight="251781632" behindDoc="0" locked="0" layoutInCell="1" allowOverlap="1">
                <wp:simplePos x="0" y="0"/>
                <wp:positionH relativeFrom="page">
                  <wp:posOffset>-279012</wp:posOffset>
                </wp:positionH>
                <wp:positionV relativeFrom="paragraph">
                  <wp:posOffset>-855659</wp:posOffset>
                </wp:positionV>
                <wp:extent cx="6715760" cy="843148"/>
                <wp:effectExtent l="0" t="0" r="27940" b="14605"/>
                <wp:wrapNone/>
                <wp:docPr id="8197" name="Rectangle 8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760" cy="8431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661FD" id="Rectangle 8197" o:spid="_x0000_s1026" style="position:absolute;margin-left:-21.95pt;margin-top:-67.35pt;width:528.8pt;height:66.4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" fillcolor="white [3212]" strokecolor="white [3212]" strokeweight="2pt">
                <v:path arrowok="t"/>
                <w10:wrap anchorx="page"/>
              </v:rect>
            </w:pict>
          </mc:Fallback>
        </mc:AlternateContent>
      </w:r>
    </w:p>
    <w:p>
      <w:pPr>
        <w:tabs>
          <w:tab w:val="left" w:pos="6158"/>
        </w:tabs>
        <w:spacing w:after="0"/>
        <w:ind w:firstLine="851"/>
        <w:jc w:val="both"/>
        <w:rPr>
          <w:rFonts w:cstheme="minorHAnsi"/>
        </w:rPr>
        <w:sectPr>
          <w:pgSz w:w="8391" w:h="11906" w:code="11"/>
          <w:pgMar w:top="1418" w:right="878" w:bottom="1418" w:left="851" w:header="709" w:footer="170" w:gutter="0"/>
          <w:pgNumType w:fmt="lowerRoman"/>
          <w:cols w:space="708"/>
          <w:docGrid w:linePitch="360"/>
        </w:sectPr>
      </w:pPr>
    </w:p>
    <w:p>
      <w:pPr>
        <w:pStyle w:val="Heading1"/>
        <w:rPr>
          <w:rFonts w:asciiTheme="minorHAnsi" w:hAnsiTheme="minorHAnsi" w:cstheme="minorHAnsi"/>
          <w:sz w:val="32"/>
          <w:lang w:val="en-US"/>
        </w:rPr>
      </w:pPr>
      <w:bookmarkStart w:id="4" w:name="_Toc118715964"/>
      <w:r>
        <w:rPr>
          <w:rFonts w:asciiTheme="minorHAnsi" w:hAnsiTheme="minorHAnsi" w:cstheme="minorHAnsi"/>
          <w:sz w:val="32"/>
          <w:lang w:val="en-US"/>
        </w:rPr>
        <w:lastRenderedPageBreak/>
        <w:t>DAFTAR TABEL</w:t>
      </w:r>
      <w:bookmarkEnd w:id="4"/>
    </w:p>
    <w:p>
      <w:pPr>
        <w:pStyle w:val="TableofFigures"/>
        <w:tabs>
          <w:tab w:val="left" w:pos="1418"/>
          <w:tab w:val="right" w:leader="dot" w:pos="6379"/>
        </w:tabs>
        <w:spacing w:line="360" w:lineRule="auto"/>
        <w:ind w:left="1418" w:right="141" w:hanging="1276"/>
        <w:jc w:val="both"/>
        <w:rPr>
          <w:rFonts w:eastAsiaTheme="minorEastAsia"/>
          <w:b/>
          <w:bCs/>
          <w:noProof/>
          <w:lang w:val="en-ID" w:eastAsia="en-ID"/>
        </w:rPr>
      </w:pPr>
      <w:r>
        <w:rPr>
          <w:b/>
          <w:bCs/>
          <w:lang w:val="en-US"/>
        </w:rPr>
        <w:fldChar w:fldCharType="begin"/>
      </w:r>
      <w:r>
        <w:rPr>
          <w:b/>
          <w:bCs/>
          <w:lang w:val="en-US"/>
        </w:rPr>
        <w:instrText xml:space="preserve"> TOC \h \z \c "Tabel 2." </w:instrText>
      </w:r>
      <w:r>
        <w:rPr>
          <w:b/>
          <w:bCs/>
          <w:lang w:val="en-US"/>
        </w:rPr>
        <w:fldChar w:fldCharType="separate"/>
      </w:r>
      <w:hyperlink w:anchor="_Toc117260657" w:history="1">
        <w:r>
          <w:rPr>
            <w:rStyle w:val="Hyperlink"/>
            <w:b/>
            <w:bCs/>
            <w:noProof/>
          </w:rPr>
          <w:t>Tabel 2. 1</w:t>
        </w:r>
        <w:r>
          <w:rPr>
            <w:rFonts w:eastAsiaTheme="minorEastAsia"/>
            <w:b/>
            <w:bCs/>
            <w:noProof/>
            <w:lang w:val="en-ID" w:eastAsia="en-ID"/>
          </w:rPr>
          <w:tab/>
        </w:r>
        <w:r>
          <w:rPr>
            <w:rStyle w:val="Hyperlink"/>
            <w:rFonts w:cs="Tahoma"/>
            <w:b/>
            <w:bCs/>
            <w:noProof/>
          </w:rPr>
          <w:t>Distribusi PDRB (Atas Dasar Harga Berlaku) Menurut Lapangan Usaha</w:t>
        </w:r>
        <w:r>
          <w:rPr>
            <w:rStyle w:val="Hyperlink"/>
            <w:rFonts w:cs="Tahoma"/>
            <w:b/>
            <w:bCs/>
            <w:noProof/>
            <w:lang w:val="en-US"/>
          </w:rPr>
          <w:t xml:space="preserve"> </w:t>
        </w:r>
        <w:r>
          <w:rPr>
            <w:rStyle w:val="Hyperlink"/>
            <w:rFonts w:cs="Tahoma"/>
            <w:b/>
            <w:bCs/>
            <w:noProof/>
          </w:rPr>
          <w:t>Provinsi Kalimantan Tengah Tahun 2021 (persen)</w:t>
        </w:r>
        <w:r>
          <w:rPr>
            <w:b/>
            <w:bCs/>
            <w:noProof/>
            <w:webHidden/>
          </w:rPr>
          <w:tab/>
        </w:r>
        <w:r>
          <w:rPr>
            <w:b/>
            <w:bCs/>
            <w:noProof/>
            <w:webHidden/>
          </w:rPr>
          <w:fldChar w:fldCharType="begin"/>
        </w:r>
        <w:r>
          <w:rPr>
            <w:b/>
            <w:bCs/>
            <w:noProof/>
            <w:webHidden/>
          </w:rPr>
          <w:instrText xml:space="preserve"> PAGEREF _Toc117260657 \h </w:instrText>
        </w:r>
        <w:r>
          <w:rPr>
            <w:b/>
            <w:bCs/>
            <w:noProof/>
            <w:webHidden/>
          </w:rPr>
        </w:r>
        <w:r>
          <w:rPr>
            <w:b/>
            <w:bCs/>
            <w:noProof/>
            <w:webHidden/>
          </w:rPr>
          <w:fldChar w:fldCharType="separate"/>
        </w:r>
        <w:r>
          <w:rPr>
            <w:b/>
            <w:bCs/>
            <w:noProof/>
            <w:webHidden/>
          </w:rPr>
          <w:t>22</w:t>
        </w:r>
        <w:r>
          <w:rPr>
            <w:b/>
            <w:bCs/>
            <w:noProof/>
            <w:webHidden/>
          </w:rPr>
          <w:fldChar w:fldCharType="end"/>
        </w:r>
      </w:hyperlink>
    </w:p>
    <w:p>
      <w:pPr>
        <w:pStyle w:val="TableofFigures"/>
        <w:tabs>
          <w:tab w:val="left" w:pos="1418"/>
          <w:tab w:val="right" w:leader="dot" w:pos="6379"/>
        </w:tabs>
        <w:spacing w:line="360" w:lineRule="auto"/>
        <w:ind w:left="1418" w:right="141" w:hanging="1276"/>
        <w:jc w:val="both"/>
        <w:rPr>
          <w:rFonts w:eastAsiaTheme="minorEastAsia"/>
          <w:b/>
          <w:bCs/>
          <w:noProof/>
          <w:lang w:val="en-ID" w:eastAsia="en-ID"/>
        </w:rPr>
      </w:pPr>
      <w:hyperlink w:anchor="_Toc117260658" w:history="1">
        <w:r>
          <w:rPr>
            <w:rStyle w:val="Hyperlink"/>
            <w:b/>
            <w:bCs/>
            <w:noProof/>
          </w:rPr>
          <w:t>Tabel 2. 2</w:t>
        </w:r>
        <w:r>
          <w:rPr>
            <w:rFonts w:eastAsiaTheme="minorEastAsia"/>
            <w:b/>
            <w:bCs/>
            <w:noProof/>
            <w:lang w:val="en-ID" w:eastAsia="en-ID"/>
          </w:rPr>
          <w:tab/>
        </w:r>
        <w:r>
          <w:rPr>
            <w:rStyle w:val="Hyperlink"/>
            <w:b/>
            <w:bCs/>
            <w:noProof/>
          </w:rPr>
          <w:t xml:space="preserve"> Persentase Penduduk menurut Kabupaten/Kota dan Agama, 2021</w:t>
        </w:r>
        <w:r>
          <w:rPr>
            <w:b/>
            <w:bCs/>
            <w:noProof/>
            <w:webHidden/>
          </w:rPr>
          <w:tab/>
        </w:r>
        <w:r>
          <w:rPr>
            <w:b/>
            <w:bCs/>
            <w:noProof/>
            <w:webHidden/>
          </w:rPr>
          <w:fldChar w:fldCharType="begin"/>
        </w:r>
        <w:r>
          <w:rPr>
            <w:b/>
            <w:bCs/>
            <w:noProof/>
            <w:webHidden/>
          </w:rPr>
          <w:instrText xml:space="preserve"> PAGEREF _Toc117260658 \h </w:instrText>
        </w:r>
        <w:r>
          <w:rPr>
            <w:b/>
            <w:bCs/>
            <w:noProof/>
            <w:webHidden/>
          </w:rPr>
        </w:r>
        <w:r>
          <w:rPr>
            <w:b/>
            <w:bCs/>
            <w:noProof/>
            <w:webHidden/>
          </w:rPr>
          <w:fldChar w:fldCharType="separate"/>
        </w:r>
        <w:r>
          <w:rPr>
            <w:b/>
            <w:bCs/>
            <w:noProof/>
            <w:webHidden/>
          </w:rPr>
          <w:t>29</w:t>
        </w:r>
        <w:r>
          <w:rPr>
            <w:b/>
            <w:bCs/>
            <w:noProof/>
            <w:webHidden/>
          </w:rPr>
          <w:fldChar w:fldCharType="end"/>
        </w:r>
      </w:hyperlink>
    </w:p>
    <w:p>
      <w:pPr>
        <w:tabs>
          <w:tab w:val="left" w:pos="1418"/>
          <w:tab w:val="right" w:leader="dot" w:pos="6379"/>
        </w:tabs>
        <w:spacing w:after="0" w:line="360" w:lineRule="auto"/>
        <w:ind w:left="1418" w:right="141" w:hanging="1276"/>
        <w:jc w:val="both"/>
        <w:rPr>
          <w:b/>
          <w:bCs/>
          <w:noProof/>
        </w:rPr>
      </w:pPr>
      <w:r>
        <w:rPr>
          <w:b/>
          <w:bCs/>
          <w:lang w:val="en-US"/>
        </w:rPr>
        <w:fldChar w:fldCharType="end"/>
      </w:r>
      <w:r>
        <w:rPr>
          <w:b/>
          <w:bCs/>
          <w:lang w:val="en-US"/>
        </w:rPr>
        <w:fldChar w:fldCharType="begin"/>
      </w:r>
      <w:r>
        <w:rPr>
          <w:b/>
          <w:bCs/>
          <w:lang w:val="en-US"/>
        </w:rPr>
        <w:instrText xml:space="preserve"> TOC \h \z \c "Tabel 3." </w:instrText>
      </w:r>
      <w:r>
        <w:rPr>
          <w:b/>
          <w:bCs/>
          <w:lang w:val="en-US"/>
        </w:rPr>
        <w:fldChar w:fldCharType="separate"/>
      </w:r>
      <w:hyperlink w:anchor="_Toc117455866" w:history="1">
        <w:r>
          <w:rPr>
            <w:rStyle w:val="Hyperlink"/>
            <w:b/>
            <w:bCs/>
            <w:noProof/>
          </w:rPr>
          <w:t>Tabel 3. 1</w:t>
        </w:r>
        <w:r>
          <w:rPr>
            <w:rFonts w:eastAsiaTheme="minorEastAsia"/>
            <w:b/>
            <w:bCs/>
            <w:noProof/>
            <w:lang w:val="en-ID" w:eastAsia="en-ID"/>
          </w:rPr>
          <w:tab/>
        </w:r>
        <w:r>
          <w:rPr>
            <w:rStyle w:val="Hyperlink"/>
            <w:b/>
            <w:bCs/>
            <w:noProof/>
          </w:rPr>
          <w:t xml:space="preserve"> Jumlah dan Persentase Penduduk menurut  Kelompok Umur dan Jenis Kelamin, 2021</w:t>
        </w:r>
        <w:r>
          <w:rPr>
            <w:b/>
            <w:bCs/>
            <w:noProof/>
            <w:webHidden/>
          </w:rPr>
          <w:tab/>
        </w:r>
        <w:r>
          <w:rPr>
            <w:b/>
            <w:bCs/>
            <w:noProof/>
            <w:webHidden/>
          </w:rPr>
          <w:fldChar w:fldCharType="begin"/>
        </w:r>
        <w:r>
          <w:rPr>
            <w:b/>
            <w:bCs/>
            <w:noProof/>
            <w:webHidden/>
          </w:rPr>
          <w:instrText xml:space="preserve"> PAGEREF _Toc117455866 \h </w:instrText>
        </w:r>
        <w:r>
          <w:rPr>
            <w:b/>
            <w:bCs/>
            <w:noProof/>
            <w:webHidden/>
          </w:rPr>
        </w:r>
        <w:r>
          <w:rPr>
            <w:b/>
            <w:bCs/>
            <w:noProof/>
            <w:webHidden/>
          </w:rPr>
          <w:fldChar w:fldCharType="separate"/>
        </w:r>
        <w:r>
          <w:rPr>
            <w:b/>
            <w:bCs/>
            <w:noProof/>
            <w:webHidden/>
          </w:rPr>
          <w:t>41</w:t>
        </w:r>
        <w:r>
          <w:rPr>
            <w:b/>
            <w:bCs/>
            <w:noProof/>
            <w:webHidden/>
          </w:rPr>
          <w:fldChar w:fldCharType="end"/>
        </w:r>
      </w:hyperlink>
    </w:p>
    <w:p>
      <w:pPr>
        <w:pStyle w:val="TableofFigures"/>
        <w:tabs>
          <w:tab w:val="left" w:pos="1320"/>
          <w:tab w:val="left" w:pos="1418"/>
          <w:tab w:val="right" w:leader="dot" w:pos="6379"/>
          <w:tab w:val="right" w:leader="dot" w:pos="6494"/>
        </w:tabs>
        <w:spacing w:line="360" w:lineRule="auto"/>
        <w:ind w:left="1418" w:right="141" w:hanging="1276"/>
        <w:jc w:val="both"/>
        <w:rPr>
          <w:rFonts w:eastAsiaTheme="minorEastAsia"/>
          <w:b/>
          <w:bCs/>
          <w:noProof/>
          <w:lang w:val="en-ID" w:eastAsia="en-ID"/>
        </w:rPr>
      </w:pPr>
      <w:hyperlink w:anchor="_Toc117455867" w:history="1">
        <w:r>
          <w:rPr>
            <w:rStyle w:val="Hyperlink"/>
            <w:b/>
            <w:bCs/>
            <w:noProof/>
          </w:rPr>
          <w:t>Tabel 3. 2</w:t>
        </w:r>
        <w:r>
          <w:rPr>
            <w:rFonts w:eastAsiaTheme="minorEastAsia"/>
            <w:b/>
            <w:bCs/>
            <w:noProof/>
            <w:lang w:val="en-ID" w:eastAsia="en-ID"/>
          </w:rPr>
          <w:tab/>
        </w:r>
        <w:r>
          <w:rPr>
            <w:rFonts w:eastAsiaTheme="minorEastAsia"/>
            <w:b/>
            <w:bCs/>
            <w:noProof/>
            <w:lang w:val="en-ID" w:eastAsia="en-ID"/>
          </w:rPr>
          <w:tab/>
        </w:r>
        <w:r>
          <w:rPr>
            <w:rStyle w:val="Hyperlink"/>
            <w:b/>
            <w:bCs/>
            <w:noProof/>
          </w:rPr>
          <w:t>Rasio Jenis Kelamin menurut Kelompok Umur,  Tahun 20</w:t>
        </w:r>
        <w:r>
          <w:rPr>
            <w:rStyle w:val="Hyperlink"/>
            <w:b/>
            <w:bCs/>
            <w:noProof/>
            <w:lang w:val="en-ID"/>
          </w:rPr>
          <w:t>21</w:t>
        </w:r>
        <w:r>
          <w:rPr>
            <w:b/>
            <w:bCs/>
            <w:noProof/>
            <w:webHidden/>
          </w:rPr>
          <w:tab/>
        </w:r>
        <w:r>
          <w:rPr>
            <w:b/>
            <w:bCs/>
            <w:noProof/>
            <w:webHidden/>
          </w:rPr>
          <w:fldChar w:fldCharType="begin"/>
        </w:r>
        <w:r>
          <w:rPr>
            <w:b/>
            <w:bCs/>
            <w:noProof/>
            <w:webHidden/>
          </w:rPr>
          <w:instrText xml:space="preserve"> PAGEREF _Toc117455867 \h </w:instrText>
        </w:r>
        <w:r>
          <w:rPr>
            <w:b/>
            <w:bCs/>
            <w:noProof/>
            <w:webHidden/>
          </w:rPr>
        </w:r>
        <w:r>
          <w:rPr>
            <w:b/>
            <w:bCs/>
            <w:noProof/>
            <w:webHidden/>
          </w:rPr>
          <w:fldChar w:fldCharType="separate"/>
        </w:r>
        <w:r>
          <w:rPr>
            <w:b/>
            <w:bCs/>
            <w:noProof/>
            <w:webHidden/>
          </w:rPr>
          <w:t>43</w:t>
        </w:r>
        <w:r>
          <w:rPr>
            <w:b/>
            <w:bCs/>
            <w:noProof/>
            <w:webHidden/>
          </w:rPr>
          <w:fldChar w:fldCharType="end"/>
        </w:r>
      </w:hyperlink>
    </w:p>
    <w:p>
      <w:pPr>
        <w:pStyle w:val="TableofFigures"/>
        <w:tabs>
          <w:tab w:val="left" w:pos="1320"/>
          <w:tab w:val="left" w:pos="1418"/>
          <w:tab w:val="right" w:leader="dot" w:pos="6379"/>
        </w:tabs>
        <w:spacing w:line="360" w:lineRule="auto"/>
        <w:ind w:left="1418" w:right="141" w:hanging="1276"/>
        <w:jc w:val="both"/>
        <w:rPr>
          <w:rFonts w:eastAsiaTheme="minorEastAsia"/>
          <w:b/>
          <w:bCs/>
          <w:noProof/>
          <w:lang w:val="en-ID" w:eastAsia="en-ID"/>
        </w:rPr>
      </w:pPr>
      <w:hyperlink w:anchor="_Toc117455868" w:history="1">
        <w:r>
          <w:rPr>
            <w:rStyle w:val="Hyperlink"/>
            <w:b/>
            <w:bCs/>
            <w:noProof/>
          </w:rPr>
          <w:t>Tabel 3. 3</w:t>
        </w:r>
        <w:r>
          <w:rPr>
            <w:rFonts w:eastAsiaTheme="minorEastAsia"/>
            <w:b/>
            <w:bCs/>
            <w:noProof/>
            <w:lang w:val="en-ID" w:eastAsia="en-ID"/>
          </w:rPr>
          <w:tab/>
        </w:r>
        <w:r>
          <w:rPr>
            <w:rFonts w:eastAsiaTheme="minorEastAsia"/>
            <w:b/>
            <w:bCs/>
            <w:noProof/>
            <w:lang w:val="en-ID" w:eastAsia="en-ID"/>
          </w:rPr>
          <w:tab/>
        </w:r>
        <w:r>
          <w:rPr>
            <w:rStyle w:val="Hyperlink"/>
            <w:b/>
            <w:bCs/>
            <w:noProof/>
          </w:rPr>
          <w:t>Rasio Jenis Kelamin menurut Kabupaten/Kota, 2</w:t>
        </w:r>
        <w:r>
          <w:rPr>
            <w:rStyle w:val="Hyperlink"/>
            <w:b/>
            <w:bCs/>
            <w:noProof/>
            <w:lang w:val="en-ID"/>
          </w:rPr>
          <w:t>021</w:t>
        </w:r>
        <w:r>
          <w:rPr>
            <w:b/>
            <w:bCs/>
            <w:noProof/>
            <w:webHidden/>
          </w:rPr>
          <w:tab/>
        </w:r>
        <w:r>
          <w:rPr>
            <w:b/>
            <w:bCs/>
            <w:noProof/>
            <w:webHidden/>
          </w:rPr>
          <w:fldChar w:fldCharType="begin"/>
        </w:r>
        <w:r>
          <w:rPr>
            <w:b/>
            <w:bCs/>
            <w:noProof/>
            <w:webHidden/>
          </w:rPr>
          <w:instrText xml:space="preserve"> PAGEREF _Toc117455868 \h </w:instrText>
        </w:r>
        <w:r>
          <w:rPr>
            <w:b/>
            <w:bCs/>
            <w:noProof/>
            <w:webHidden/>
          </w:rPr>
        </w:r>
        <w:r>
          <w:rPr>
            <w:b/>
            <w:bCs/>
            <w:noProof/>
            <w:webHidden/>
          </w:rPr>
          <w:fldChar w:fldCharType="separate"/>
        </w:r>
        <w:r>
          <w:rPr>
            <w:b/>
            <w:bCs/>
            <w:noProof/>
            <w:webHidden/>
          </w:rPr>
          <w:t>44</w:t>
        </w:r>
        <w:r>
          <w:rPr>
            <w:b/>
            <w:bCs/>
            <w:noProof/>
            <w:webHidden/>
          </w:rPr>
          <w:fldChar w:fldCharType="end"/>
        </w:r>
      </w:hyperlink>
    </w:p>
    <w:p>
      <w:pPr>
        <w:tabs>
          <w:tab w:val="left" w:pos="1418"/>
          <w:tab w:val="right" w:leader="dot" w:pos="6379"/>
        </w:tabs>
        <w:spacing w:after="0" w:line="360" w:lineRule="auto"/>
        <w:ind w:left="1418" w:right="141" w:hanging="1276"/>
        <w:jc w:val="both"/>
        <w:rPr>
          <w:rFonts w:eastAsiaTheme="minorEastAsia"/>
          <w:noProof/>
          <w:lang w:val="en-ID" w:eastAsia="en-ID"/>
        </w:rPr>
      </w:pPr>
      <w:r>
        <w:rPr>
          <w:b/>
          <w:bCs/>
          <w:lang w:val="en-US"/>
        </w:rPr>
        <w:fldChar w:fldCharType="end"/>
      </w:r>
      <w:r>
        <w:rPr>
          <w:rFonts w:cstheme="minorHAnsi"/>
        </w:rPr>
        <w:fldChar w:fldCharType="begin"/>
      </w:r>
      <w:r>
        <w:rPr>
          <w:rFonts w:cstheme="minorHAnsi"/>
        </w:rPr>
        <w:instrText xml:space="preserve"> TOC \h \z \c "Tabel 4." </w:instrText>
      </w:r>
      <w:r>
        <w:rPr>
          <w:rFonts w:cstheme="minorHAnsi"/>
        </w:rPr>
        <w:fldChar w:fldCharType="separate"/>
      </w:r>
      <w:hyperlink w:anchor="_Toc117519520" w:history="1">
        <w:r>
          <w:rPr>
            <w:rStyle w:val="Hyperlink"/>
            <w:b/>
            <w:bCs/>
            <w:noProof/>
          </w:rPr>
          <w:t>Tabel 4. 1</w:t>
        </w:r>
        <w:r>
          <w:rPr>
            <w:rFonts w:eastAsiaTheme="minorEastAsia"/>
            <w:noProof/>
            <w:lang w:val="en-ID" w:eastAsia="en-ID"/>
          </w:rPr>
          <w:tab/>
        </w:r>
        <w:r>
          <w:rPr>
            <w:rStyle w:val="Hyperlink"/>
            <w:rFonts w:cs="Arial"/>
            <w:b/>
            <w:bCs/>
            <w:noProof/>
          </w:rPr>
          <w:t>Angka Partisipasi Kasar (APK) Sekolah Dasar (SD) Menurut Kabupaten/Kota dan Jenis Kelamin, 2019-2021</w:t>
        </w:r>
        <w:r>
          <w:rPr>
            <w:noProof/>
            <w:webHidden/>
          </w:rPr>
          <w:tab/>
        </w:r>
        <w:r>
          <w:rPr>
            <w:noProof/>
            <w:webHidden/>
          </w:rPr>
          <w:fldChar w:fldCharType="begin"/>
        </w:r>
        <w:r>
          <w:rPr>
            <w:noProof/>
            <w:webHidden/>
          </w:rPr>
          <w:instrText xml:space="preserve"> PAGEREF _Toc117519520 \h </w:instrText>
        </w:r>
        <w:r>
          <w:rPr>
            <w:noProof/>
            <w:webHidden/>
          </w:rPr>
        </w:r>
        <w:r>
          <w:rPr>
            <w:noProof/>
            <w:webHidden/>
          </w:rPr>
          <w:fldChar w:fldCharType="separate"/>
        </w:r>
        <w:r>
          <w:rPr>
            <w:noProof/>
            <w:webHidden/>
          </w:rPr>
          <w:t>55</w:t>
        </w:r>
        <w:r>
          <w:rPr>
            <w:noProof/>
            <w:webHidden/>
          </w:rPr>
          <w:fldChar w:fldCharType="end"/>
        </w:r>
      </w:hyperlink>
    </w:p>
    <w:p>
      <w:pPr>
        <w:pStyle w:val="TableofFigures"/>
        <w:tabs>
          <w:tab w:val="left" w:pos="1320"/>
          <w:tab w:val="left" w:pos="1418"/>
          <w:tab w:val="right" w:leader="dot" w:pos="6379"/>
        </w:tabs>
        <w:spacing w:line="360" w:lineRule="auto"/>
        <w:ind w:left="1418" w:right="141" w:hanging="1276"/>
        <w:jc w:val="both"/>
        <w:rPr>
          <w:rFonts w:eastAsiaTheme="minorEastAsia"/>
          <w:noProof/>
          <w:lang w:val="en-ID" w:eastAsia="en-ID"/>
        </w:rPr>
      </w:pPr>
      <w:hyperlink w:anchor="_Toc117519521" w:history="1">
        <w:r>
          <w:rPr>
            <w:rStyle w:val="Hyperlink"/>
            <w:b/>
            <w:bCs/>
            <w:noProof/>
          </w:rPr>
          <w:t>Tabel 4. 2</w:t>
        </w:r>
        <w:r>
          <w:rPr>
            <w:rFonts w:eastAsiaTheme="minorEastAsia"/>
            <w:noProof/>
            <w:lang w:val="en-ID" w:eastAsia="en-ID"/>
          </w:rPr>
          <w:tab/>
        </w:r>
        <w:r>
          <w:rPr>
            <w:rStyle w:val="Hyperlink"/>
            <w:b/>
            <w:bCs/>
            <w:noProof/>
          </w:rPr>
          <w:t xml:space="preserve"> </w:t>
        </w:r>
        <w:r>
          <w:rPr>
            <w:rStyle w:val="Hyperlink"/>
            <w:rFonts w:cs="Arial"/>
            <w:b/>
            <w:bCs/>
            <w:noProof/>
          </w:rPr>
          <w:t>Angka Partisipasi Kasar (APK) Sekolah Menengah Pertama (SMP) Menurut Kabupaten/Kota dan Jenis Kelamin, 2019-2021</w:t>
        </w:r>
        <w:r>
          <w:rPr>
            <w:noProof/>
            <w:webHidden/>
          </w:rPr>
          <w:tab/>
        </w:r>
        <w:r>
          <w:rPr>
            <w:noProof/>
            <w:webHidden/>
          </w:rPr>
          <w:fldChar w:fldCharType="begin"/>
        </w:r>
        <w:r>
          <w:rPr>
            <w:noProof/>
            <w:webHidden/>
          </w:rPr>
          <w:instrText xml:space="preserve"> PAGEREF _Toc117519521 \h </w:instrText>
        </w:r>
        <w:r>
          <w:rPr>
            <w:noProof/>
            <w:webHidden/>
          </w:rPr>
        </w:r>
        <w:r>
          <w:rPr>
            <w:noProof/>
            <w:webHidden/>
          </w:rPr>
          <w:fldChar w:fldCharType="separate"/>
        </w:r>
        <w:r>
          <w:rPr>
            <w:noProof/>
            <w:webHidden/>
          </w:rPr>
          <w:t>57</w:t>
        </w:r>
        <w:r>
          <w:rPr>
            <w:noProof/>
            <w:webHidden/>
          </w:rPr>
          <w:fldChar w:fldCharType="end"/>
        </w:r>
      </w:hyperlink>
    </w:p>
    <w:p>
      <w:pPr>
        <w:pStyle w:val="TableofFigures"/>
        <w:tabs>
          <w:tab w:val="left" w:pos="1320"/>
          <w:tab w:val="left" w:pos="1418"/>
          <w:tab w:val="right" w:leader="dot" w:pos="6379"/>
        </w:tabs>
        <w:spacing w:line="360" w:lineRule="auto"/>
        <w:ind w:left="1418" w:right="141" w:hanging="1276"/>
        <w:jc w:val="both"/>
        <w:rPr>
          <w:rFonts w:eastAsiaTheme="minorEastAsia"/>
          <w:noProof/>
          <w:lang w:val="en-ID" w:eastAsia="en-ID"/>
        </w:rPr>
      </w:pPr>
      <w:hyperlink w:anchor="_Toc117519522" w:history="1">
        <w:r>
          <w:rPr>
            <w:rStyle w:val="Hyperlink"/>
            <w:b/>
            <w:bCs/>
            <w:noProof/>
          </w:rPr>
          <w:t>Tabel 4. 3</w:t>
        </w:r>
        <w:r>
          <w:rPr>
            <w:rFonts w:eastAsiaTheme="minorEastAsia"/>
            <w:noProof/>
            <w:lang w:val="en-ID" w:eastAsia="en-ID"/>
          </w:rPr>
          <w:tab/>
        </w:r>
        <w:r>
          <w:rPr>
            <w:rStyle w:val="Hyperlink"/>
            <w:b/>
            <w:bCs/>
            <w:noProof/>
            <w:lang w:val="en-US"/>
          </w:rPr>
          <w:t xml:space="preserve"> </w:t>
        </w:r>
        <w:r>
          <w:rPr>
            <w:rStyle w:val="Hyperlink"/>
            <w:rFonts w:cs="Arial"/>
            <w:b/>
            <w:bCs/>
            <w:noProof/>
          </w:rPr>
          <w:t>Angka Partisipasi Kasar (APK) Sekolah Menengah Atas (SMA) Menurut Kabupaten/Kota dan Jenis Kelamin, 2019-2021</w:t>
        </w:r>
        <w:r>
          <w:rPr>
            <w:noProof/>
            <w:webHidden/>
          </w:rPr>
          <w:tab/>
        </w:r>
        <w:r>
          <w:rPr>
            <w:noProof/>
            <w:webHidden/>
          </w:rPr>
          <w:fldChar w:fldCharType="begin"/>
        </w:r>
        <w:r>
          <w:rPr>
            <w:noProof/>
            <w:webHidden/>
          </w:rPr>
          <w:instrText xml:space="preserve"> PAGEREF _Toc117519522 \h </w:instrText>
        </w:r>
        <w:r>
          <w:rPr>
            <w:noProof/>
            <w:webHidden/>
          </w:rPr>
        </w:r>
        <w:r>
          <w:rPr>
            <w:noProof/>
            <w:webHidden/>
          </w:rPr>
          <w:fldChar w:fldCharType="separate"/>
        </w:r>
        <w:r>
          <w:rPr>
            <w:noProof/>
            <w:webHidden/>
          </w:rPr>
          <w:t>58</w:t>
        </w:r>
        <w:r>
          <w:rPr>
            <w:noProof/>
            <w:webHidden/>
          </w:rPr>
          <w:fldChar w:fldCharType="end"/>
        </w:r>
      </w:hyperlink>
    </w:p>
    <w:p>
      <w:pPr>
        <w:pStyle w:val="TableofFigures"/>
        <w:tabs>
          <w:tab w:val="left" w:pos="1418"/>
          <w:tab w:val="left" w:pos="1560"/>
          <w:tab w:val="right" w:leader="dot" w:pos="6379"/>
        </w:tabs>
        <w:spacing w:line="360" w:lineRule="auto"/>
        <w:ind w:left="1418" w:right="141" w:hanging="1276"/>
        <w:jc w:val="both"/>
        <w:rPr>
          <w:rFonts w:eastAsiaTheme="minorEastAsia"/>
          <w:noProof/>
          <w:lang w:val="en-ID" w:eastAsia="en-ID"/>
        </w:rPr>
      </w:pPr>
      <w:hyperlink w:anchor="_Toc117519523" w:history="1">
        <w:r>
          <w:rPr>
            <w:rStyle w:val="Hyperlink"/>
            <w:b/>
            <w:bCs/>
            <w:noProof/>
          </w:rPr>
          <w:t>Tabel 4. 4</w:t>
        </w:r>
        <w:r>
          <w:rPr>
            <w:rFonts w:eastAsiaTheme="minorEastAsia"/>
            <w:noProof/>
            <w:lang w:val="en-ID" w:eastAsia="en-ID"/>
          </w:rPr>
          <w:tab/>
        </w:r>
        <w:r>
          <w:rPr>
            <w:rStyle w:val="Hyperlink"/>
            <w:b/>
            <w:bCs/>
            <w:noProof/>
            <w:lang w:val="en-US"/>
          </w:rPr>
          <w:t xml:space="preserve"> </w:t>
        </w:r>
        <w:r>
          <w:rPr>
            <w:rStyle w:val="Hyperlink"/>
            <w:rFonts w:cs="Arial"/>
            <w:b/>
            <w:bCs/>
            <w:noProof/>
          </w:rPr>
          <w:t>Angka Partisipasi Sekolah (APS) Penduduk Umur 7-12 Tahun Menurut Kabupaten/Kota dan Jenis Kelamin, 2019-2021</w:t>
        </w:r>
        <w:r>
          <w:rPr>
            <w:noProof/>
            <w:webHidden/>
          </w:rPr>
          <w:tab/>
        </w:r>
        <w:r>
          <w:rPr>
            <w:noProof/>
            <w:webHidden/>
          </w:rPr>
          <w:fldChar w:fldCharType="begin"/>
        </w:r>
        <w:r>
          <w:rPr>
            <w:noProof/>
            <w:webHidden/>
          </w:rPr>
          <w:instrText xml:space="preserve"> PAGEREF _Toc117519523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24" w:history="1">
        <w:r>
          <w:rPr>
            <w:rStyle w:val="Hyperlink"/>
            <w:b/>
            <w:bCs/>
            <w:noProof/>
          </w:rPr>
          <w:t>Tabel 4. 5</w:t>
        </w:r>
        <w:r>
          <w:rPr>
            <w:rFonts w:eastAsiaTheme="minorEastAsia"/>
            <w:noProof/>
            <w:lang w:val="en-ID" w:eastAsia="en-ID"/>
          </w:rPr>
          <w:tab/>
        </w:r>
        <w:r>
          <w:rPr>
            <w:rStyle w:val="Hyperlink"/>
            <w:rFonts w:cs="Arial"/>
            <w:b/>
            <w:bCs/>
            <w:noProof/>
          </w:rPr>
          <w:t>Angka Partisipasi Sekolah (APS) Penduduk Umur 13-15 Tahun Menurut Kabupaten/Kota dan Jenis Kelamin, 2019-2021</w:t>
        </w:r>
        <w:r>
          <w:rPr>
            <w:noProof/>
            <w:webHidden/>
          </w:rPr>
          <w:tab/>
        </w:r>
        <w:r>
          <w:rPr>
            <w:noProof/>
            <w:webHidden/>
          </w:rPr>
          <w:fldChar w:fldCharType="begin"/>
        </w:r>
        <w:r>
          <w:rPr>
            <w:noProof/>
            <w:webHidden/>
          </w:rPr>
          <w:instrText xml:space="preserve"> PAGEREF _Toc117519524 \h </w:instrText>
        </w:r>
        <w:r>
          <w:rPr>
            <w:noProof/>
            <w:webHidden/>
          </w:rPr>
        </w:r>
        <w:r>
          <w:rPr>
            <w:noProof/>
            <w:webHidden/>
          </w:rPr>
          <w:fldChar w:fldCharType="separate"/>
        </w:r>
        <w:r>
          <w:rPr>
            <w:noProof/>
            <w:webHidden/>
          </w:rPr>
          <w:t>63</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25" w:history="1">
        <w:r>
          <w:rPr>
            <w:rStyle w:val="Hyperlink"/>
            <w:b/>
            <w:bCs/>
            <w:noProof/>
          </w:rPr>
          <w:t>Tabel 4. 6</w:t>
        </w:r>
        <w:r>
          <w:rPr>
            <w:rFonts w:eastAsiaTheme="minorEastAsia"/>
            <w:noProof/>
            <w:lang w:val="en-ID" w:eastAsia="en-ID"/>
          </w:rPr>
          <w:tab/>
        </w:r>
        <w:r>
          <w:rPr>
            <w:rStyle w:val="Hyperlink"/>
            <w:b/>
            <w:bCs/>
            <w:noProof/>
          </w:rPr>
          <w:t xml:space="preserve"> </w:t>
        </w:r>
        <w:r>
          <w:rPr>
            <w:rStyle w:val="Hyperlink"/>
            <w:rFonts w:cs="Arial"/>
            <w:b/>
            <w:bCs/>
            <w:noProof/>
          </w:rPr>
          <w:t>Angka Partisipasi Sekolah (APS) Penduduk Umur 16-18 Tahun Menurut Kabupaten/Kota dan Jenis Kelamin, 2019-2021</w:t>
        </w:r>
        <w:r>
          <w:rPr>
            <w:noProof/>
            <w:webHidden/>
          </w:rPr>
          <w:tab/>
        </w:r>
        <w:r>
          <w:rPr>
            <w:noProof/>
            <w:webHidden/>
          </w:rPr>
          <w:fldChar w:fldCharType="begin"/>
        </w:r>
        <w:r>
          <w:rPr>
            <w:noProof/>
            <w:webHidden/>
          </w:rPr>
          <w:instrText xml:space="preserve"> PAGEREF _Toc117519525 \h </w:instrText>
        </w:r>
        <w:r>
          <w:rPr>
            <w:noProof/>
            <w:webHidden/>
          </w:rPr>
        </w:r>
        <w:r>
          <w:rPr>
            <w:noProof/>
            <w:webHidden/>
          </w:rPr>
          <w:fldChar w:fldCharType="separate"/>
        </w:r>
        <w:r>
          <w:rPr>
            <w:noProof/>
            <w:webHidden/>
          </w:rPr>
          <w:t>64</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26" w:history="1">
        <w:r>
          <w:rPr>
            <w:rStyle w:val="Hyperlink"/>
            <w:b/>
            <w:bCs/>
            <w:noProof/>
          </w:rPr>
          <w:t>Tabel 4. 7</w:t>
        </w:r>
        <w:r>
          <w:rPr>
            <w:rStyle w:val="Hyperlink"/>
            <w:b/>
            <w:bCs/>
            <w:noProof/>
            <w:lang w:val="en-US"/>
          </w:rPr>
          <w:t xml:space="preserve"> </w:t>
        </w:r>
        <w:r>
          <w:rPr>
            <w:rFonts w:eastAsiaTheme="minorEastAsia"/>
            <w:noProof/>
            <w:lang w:val="en-ID" w:eastAsia="en-ID"/>
          </w:rPr>
          <w:tab/>
        </w:r>
        <w:r>
          <w:rPr>
            <w:rStyle w:val="Hyperlink"/>
            <w:rFonts w:cs="Arial"/>
            <w:b/>
            <w:bCs/>
            <w:noProof/>
          </w:rPr>
          <w:t>Angka Partisipasi Murni (APM) Sekolah Dasar (SD) Menurut Kabupaten/ Kota dan Jenis Kelamin, 2019-2021</w:t>
        </w:r>
        <w:r>
          <w:rPr>
            <w:noProof/>
            <w:webHidden/>
          </w:rPr>
          <w:tab/>
        </w:r>
        <w:r>
          <w:rPr>
            <w:noProof/>
            <w:webHidden/>
          </w:rPr>
          <w:fldChar w:fldCharType="begin"/>
        </w:r>
        <w:r>
          <w:rPr>
            <w:noProof/>
            <w:webHidden/>
          </w:rPr>
          <w:instrText xml:space="preserve"> PAGEREF _Toc117519526 \h </w:instrText>
        </w:r>
        <w:r>
          <w:rPr>
            <w:noProof/>
            <w:webHidden/>
          </w:rPr>
        </w:r>
        <w:r>
          <w:rPr>
            <w:noProof/>
            <w:webHidden/>
          </w:rPr>
          <w:fldChar w:fldCharType="separate"/>
        </w:r>
        <w:r>
          <w:rPr>
            <w:noProof/>
            <w:webHidden/>
          </w:rPr>
          <w:t>67</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27" w:history="1">
        <w:r>
          <w:rPr>
            <w:rStyle w:val="Hyperlink"/>
            <w:b/>
            <w:bCs/>
            <w:noProof/>
          </w:rPr>
          <w:t>Tabel 4. 8</w:t>
        </w:r>
        <w:r>
          <w:rPr>
            <w:rFonts w:eastAsiaTheme="minorEastAsia"/>
            <w:noProof/>
            <w:lang w:val="en-ID" w:eastAsia="en-ID"/>
          </w:rPr>
          <w:tab/>
        </w:r>
        <w:r>
          <w:rPr>
            <w:rStyle w:val="Hyperlink"/>
            <w:b/>
            <w:bCs/>
            <w:noProof/>
          </w:rPr>
          <w:t xml:space="preserve"> </w:t>
        </w:r>
        <w:r>
          <w:rPr>
            <w:rStyle w:val="Hyperlink"/>
            <w:rFonts w:cs="Arial"/>
            <w:b/>
            <w:bCs/>
            <w:noProof/>
          </w:rPr>
          <w:t>Angka Partisipasi Murni (APM) Sekolah Menengah Pertama (SMP) Menurut Kabupaten/Kota dan Jenis Kelamin, 2019-2021</w:t>
        </w:r>
        <w:r>
          <w:rPr>
            <w:noProof/>
            <w:webHidden/>
          </w:rPr>
          <w:tab/>
        </w:r>
        <w:r>
          <w:rPr>
            <w:noProof/>
            <w:webHidden/>
          </w:rPr>
          <w:fldChar w:fldCharType="begin"/>
        </w:r>
        <w:r>
          <w:rPr>
            <w:noProof/>
            <w:webHidden/>
          </w:rPr>
          <w:instrText xml:space="preserve"> PAGEREF _Toc117519527 \h </w:instrText>
        </w:r>
        <w:r>
          <w:rPr>
            <w:noProof/>
            <w:webHidden/>
          </w:rPr>
        </w:r>
        <w:r>
          <w:rPr>
            <w:noProof/>
            <w:webHidden/>
          </w:rPr>
          <w:fldChar w:fldCharType="separate"/>
        </w:r>
        <w:r>
          <w:rPr>
            <w:noProof/>
            <w:webHidden/>
          </w:rPr>
          <w:t>68</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28" w:history="1">
        <w:r>
          <w:rPr>
            <w:rStyle w:val="Hyperlink"/>
            <w:b/>
            <w:bCs/>
            <w:noProof/>
          </w:rPr>
          <w:t>Tabel 4. 9</w:t>
        </w:r>
        <w:r>
          <w:rPr>
            <w:rFonts w:eastAsiaTheme="minorEastAsia"/>
            <w:noProof/>
            <w:lang w:val="en-ID" w:eastAsia="en-ID"/>
          </w:rPr>
          <w:tab/>
        </w:r>
        <w:r>
          <w:rPr>
            <w:rStyle w:val="Hyperlink"/>
            <w:rFonts w:cs="Arial"/>
            <w:b/>
            <w:bCs/>
            <w:noProof/>
          </w:rPr>
          <w:t>Angka Partisipasi Murni (APM) Sekolah Menengah Atas (SMA) Menurut Kabupaten/Kota dan Jenis Kelamin, 2019-2021</w:t>
        </w:r>
        <w:r>
          <w:rPr>
            <w:noProof/>
            <w:webHidden/>
          </w:rPr>
          <w:tab/>
        </w:r>
        <w:r>
          <w:rPr>
            <w:noProof/>
            <w:webHidden/>
          </w:rPr>
          <w:fldChar w:fldCharType="begin"/>
        </w:r>
        <w:r>
          <w:rPr>
            <w:noProof/>
            <w:webHidden/>
          </w:rPr>
          <w:instrText xml:space="preserve"> PAGEREF _Toc117519528 \h </w:instrText>
        </w:r>
        <w:r>
          <w:rPr>
            <w:noProof/>
            <w:webHidden/>
          </w:rPr>
        </w:r>
        <w:r>
          <w:rPr>
            <w:noProof/>
            <w:webHidden/>
          </w:rPr>
          <w:fldChar w:fldCharType="separate"/>
        </w:r>
        <w:r>
          <w:rPr>
            <w:noProof/>
            <w:webHidden/>
          </w:rPr>
          <w:t>69</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29" w:history="1">
        <w:r>
          <w:rPr>
            <w:rStyle w:val="Hyperlink"/>
            <w:b/>
            <w:bCs/>
            <w:noProof/>
          </w:rPr>
          <w:t>Tabel 4. 10</w:t>
        </w:r>
        <w:r>
          <w:rPr>
            <w:rFonts w:eastAsiaTheme="minorEastAsia"/>
            <w:noProof/>
            <w:lang w:val="en-ID" w:eastAsia="en-ID"/>
          </w:rPr>
          <w:tab/>
        </w:r>
        <w:r>
          <w:rPr>
            <w:rStyle w:val="Hyperlink"/>
            <w:rFonts w:cs="Arial"/>
            <w:b/>
            <w:bCs/>
            <w:noProof/>
          </w:rPr>
          <w:t>Angka Melek Huruf (AMH) Menurut Kabupaten/Kota, Kelompok Umur dan Jenis Kelamin, 2021</w:t>
        </w:r>
        <w:r>
          <w:rPr>
            <w:noProof/>
            <w:webHidden/>
          </w:rPr>
          <w:tab/>
        </w:r>
        <w:r>
          <w:rPr>
            <w:noProof/>
            <w:webHidden/>
          </w:rPr>
          <w:fldChar w:fldCharType="begin"/>
        </w:r>
        <w:r>
          <w:rPr>
            <w:noProof/>
            <w:webHidden/>
          </w:rPr>
          <w:instrText xml:space="preserve"> PAGEREF _Toc117519529 \h </w:instrText>
        </w:r>
        <w:r>
          <w:rPr>
            <w:noProof/>
            <w:webHidden/>
          </w:rPr>
        </w:r>
        <w:r>
          <w:rPr>
            <w:noProof/>
            <w:webHidden/>
          </w:rPr>
          <w:fldChar w:fldCharType="separate"/>
        </w:r>
        <w:r>
          <w:rPr>
            <w:noProof/>
            <w:webHidden/>
          </w:rPr>
          <w:t>73</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30" w:history="1">
        <w:r>
          <w:rPr>
            <w:rStyle w:val="Hyperlink"/>
            <w:b/>
            <w:bCs/>
            <w:noProof/>
          </w:rPr>
          <w:t>Tabel 4. 11</w:t>
        </w:r>
        <w:r>
          <w:rPr>
            <w:rFonts w:eastAsiaTheme="minorEastAsia"/>
            <w:noProof/>
            <w:lang w:val="en-ID" w:eastAsia="en-ID"/>
          </w:rPr>
          <w:tab/>
        </w:r>
        <w:r>
          <w:rPr>
            <w:rStyle w:val="Hyperlink"/>
            <w:rFonts w:cs="Arial"/>
            <w:b/>
            <w:bCs/>
            <w:noProof/>
          </w:rPr>
          <w:t>Persentase Penduduk Umur 15 Tahun ke Atas Menurut Jenjang Pendidikan Tertinggi yang Ditamatkan dan Jenis Kelamin, 2014-2019-2021</w:t>
        </w:r>
        <w:r>
          <w:rPr>
            <w:noProof/>
            <w:webHidden/>
          </w:rPr>
          <w:tab/>
        </w:r>
        <w:r>
          <w:rPr>
            <w:noProof/>
            <w:webHidden/>
          </w:rPr>
          <w:fldChar w:fldCharType="begin"/>
        </w:r>
        <w:r>
          <w:rPr>
            <w:noProof/>
            <w:webHidden/>
          </w:rPr>
          <w:instrText xml:space="preserve"> PAGEREF _Toc117519530 \h </w:instrText>
        </w:r>
        <w:r>
          <w:rPr>
            <w:noProof/>
            <w:webHidden/>
          </w:rPr>
        </w:r>
        <w:r>
          <w:rPr>
            <w:noProof/>
            <w:webHidden/>
          </w:rPr>
          <w:fldChar w:fldCharType="separate"/>
        </w:r>
        <w:r>
          <w:rPr>
            <w:noProof/>
            <w:webHidden/>
          </w:rPr>
          <w:t>78</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31" w:history="1">
        <w:r>
          <w:rPr>
            <w:rStyle w:val="Hyperlink"/>
            <w:b/>
            <w:bCs/>
            <w:noProof/>
          </w:rPr>
          <w:t>Tabel 4. 12</w:t>
        </w:r>
        <w:r>
          <w:rPr>
            <w:rStyle w:val="Hyperlink"/>
            <w:b/>
            <w:bCs/>
            <w:noProof/>
            <w:lang w:val="en-US"/>
          </w:rPr>
          <w:t xml:space="preserve"> </w:t>
        </w:r>
        <w:r>
          <w:rPr>
            <w:rFonts w:eastAsiaTheme="minorEastAsia"/>
            <w:noProof/>
            <w:lang w:val="en-ID" w:eastAsia="en-ID"/>
          </w:rPr>
          <w:tab/>
        </w:r>
        <w:r>
          <w:rPr>
            <w:rStyle w:val="Hyperlink"/>
            <w:rFonts w:cs="Arial"/>
            <w:b/>
            <w:bCs/>
            <w:noProof/>
          </w:rPr>
          <w:t>Persentase Penduduk Umur 15 Tahun ke Atas Menurut Kabupaten/Kota, Ijazah Tertinggi yang Dimiliki, dan Jenis Kelamin, 2021</w:t>
        </w:r>
        <w:r>
          <w:rPr>
            <w:noProof/>
            <w:webHidden/>
          </w:rPr>
          <w:tab/>
        </w:r>
        <w:r>
          <w:rPr>
            <w:noProof/>
            <w:webHidden/>
          </w:rPr>
          <w:fldChar w:fldCharType="begin"/>
        </w:r>
        <w:r>
          <w:rPr>
            <w:noProof/>
            <w:webHidden/>
          </w:rPr>
          <w:instrText xml:space="preserve"> PAGEREF _Toc117519531 \h </w:instrText>
        </w:r>
        <w:r>
          <w:rPr>
            <w:noProof/>
            <w:webHidden/>
          </w:rPr>
        </w:r>
        <w:r>
          <w:rPr>
            <w:noProof/>
            <w:webHidden/>
          </w:rPr>
          <w:fldChar w:fldCharType="separate"/>
        </w:r>
        <w:r>
          <w:rPr>
            <w:noProof/>
            <w:webHidden/>
          </w:rPr>
          <w:t>80</w:t>
        </w:r>
        <w:r>
          <w:rPr>
            <w:noProof/>
            <w:webHidden/>
          </w:rPr>
          <w:fldChar w:fldCharType="end"/>
        </w:r>
      </w:hyperlink>
    </w:p>
    <w:p>
      <w:pPr>
        <w:pStyle w:val="TableofFigures"/>
        <w:tabs>
          <w:tab w:val="left" w:pos="1134"/>
          <w:tab w:val="left" w:pos="1418"/>
          <w:tab w:val="right" w:leader="dot" w:pos="6237"/>
          <w:tab w:val="right" w:leader="dot" w:pos="6379"/>
        </w:tabs>
        <w:spacing w:line="360" w:lineRule="auto"/>
        <w:ind w:left="1418" w:right="283" w:hanging="1134"/>
        <w:jc w:val="both"/>
        <w:rPr>
          <w:noProof/>
        </w:rPr>
      </w:pPr>
      <w:hyperlink w:anchor="_Toc117519532" w:history="1">
        <w:r>
          <w:rPr>
            <w:rStyle w:val="Hyperlink"/>
            <w:b/>
            <w:bCs/>
            <w:noProof/>
          </w:rPr>
          <w:t>Tabel 4. 13</w:t>
        </w:r>
        <w:r>
          <w:rPr>
            <w:rFonts w:eastAsiaTheme="minorEastAsia"/>
            <w:noProof/>
            <w:lang w:val="en-ID" w:eastAsia="en-ID"/>
          </w:rPr>
          <w:tab/>
        </w:r>
        <w:r>
          <w:rPr>
            <w:rStyle w:val="Hyperlink"/>
            <w:rFonts w:cs="Arial"/>
            <w:b/>
            <w:bCs/>
            <w:noProof/>
          </w:rPr>
          <w:t>Rata-rata Lama Sekolah (dalam tahun) Penduduk Umur 15 Tahun ke Atas Menurut Kabupaten/Kota dan Jenis Kelamin, 2020-2021</w:t>
        </w:r>
        <w:r>
          <w:rPr>
            <w:noProof/>
            <w:webHidden/>
          </w:rPr>
          <w:tab/>
        </w:r>
        <w:r>
          <w:rPr>
            <w:noProof/>
            <w:webHidden/>
          </w:rPr>
          <w:fldChar w:fldCharType="begin"/>
        </w:r>
        <w:r>
          <w:rPr>
            <w:noProof/>
            <w:webHidden/>
          </w:rPr>
          <w:instrText xml:space="preserve"> PAGEREF _Toc117519532 \h </w:instrText>
        </w:r>
        <w:r>
          <w:rPr>
            <w:noProof/>
            <w:webHidden/>
          </w:rPr>
        </w:r>
        <w:r>
          <w:rPr>
            <w:noProof/>
            <w:webHidden/>
          </w:rPr>
          <w:fldChar w:fldCharType="separate"/>
        </w:r>
        <w:r>
          <w:rPr>
            <w:noProof/>
            <w:webHidden/>
          </w:rPr>
          <w:t>83</w:t>
        </w:r>
        <w:r>
          <w:rPr>
            <w:noProof/>
            <w:webHidden/>
          </w:rPr>
          <w:fldChar w:fldCharType="end"/>
        </w:r>
      </w:hyperlink>
    </w:p>
    <w:p>
      <w:pPr>
        <w:spacing w:line="360" w:lineRule="auto"/>
      </w:pPr>
    </w:p>
    <w:p>
      <w:pPr>
        <w:pStyle w:val="TableofFigures"/>
        <w:tabs>
          <w:tab w:val="left" w:pos="1418"/>
          <w:tab w:val="right" w:leader="dot" w:pos="6237"/>
          <w:tab w:val="right" w:leader="dot" w:pos="6379"/>
        </w:tabs>
        <w:spacing w:line="360" w:lineRule="auto"/>
        <w:ind w:left="1418" w:right="283" w:hanging="1134"/>
        <w:jc w:val="both"/>
        <w:rPr>
          <w:rFonts w:eastAsiaTheme="minorEastAsia"/>
          <w:noProof/>
          <w:lang w:val="en-ID" w:eastAsia="en-ID"/>
        </w:rPr>
      </w:pPr>
      <w:hyperlink w:anchor="_Toc117519533" w:history="1">
        <w:r>
          <w:rPr>
            <w:rStyle w:val="Hyperlink"/>
            <w:b/>
            <w:bCs/>
            <w:noProof/>
          </w:rPr>
          <w:t>Tabel 4. 14</w:t>
        </w:r>
        <w:r>
          <w:rPr>
            <w:rFonts w:eastAsiaTheme="minorEastAsia"/>
            <w:noProof/>
            <w:lang w:val="en-ID" w:eastAsia="en-ID"/>
          </w:rPr>
          <w:tab/>
        </w:r>
        <w:r>
          <w:rPr>
            <w:rStyle w:val="Hyperlink"/>
            <w:rFonts w:cs="Arial"/>
            <w:b/>
            <w:bCs/>
            <w:noProof/>
          </w:rPr>
          <w:t>Persentase Penduduk Umur 5 Tahun ke Atas yang Menguasai/Memiliki Telepon Seluler (HP) Dalam 3 Bulan Terakhir Menurut Kabupaten/Kota dan Jenis Kelamin, 2021</w:t>
        </w:r>
        <w:r>
          <w:rPr>
            <w:noProof/>
            <w:webHidden/>
          </w:rPr>
          <w:tab/>
        </w:r>
        <w:r>
          <w:rPr>
            <w:noProof/>
            <w:webHidden/>
          </w:rPr>
          <w:fldChar w:fldCharType="begin"/>
        </w:r>
        <w:r>
          <w:rPr>
            <w:noProof/>
            <w:webHidden/>
          </w:rPr>
          <w:instrText xml:space="preserve"> PAGEREF _Toc117519533 \h </w:instrText>
        </w:r>
        <w:r>
          <w:rPr>
            <w:noProof/>
            <w:webHidden/>
          </w:rPr>
        </w:r>
        <w:r>
          <w:rPr>
            <w:noProof/>
            <w:webHidden/>
          </w:rPr>
          <w:fldChar w:fldCharType="separate"/>
        </w:r>
        <w:r>
          <w:rPr>
            <w:noProof/>
            <w:webHidden/>
          </w:rPr>
          <w:t>85</w:t>
        </w:r>
        <w:r>
          <w:rPr>
            <w:noProof/>
            <w:webHidden/>
          </w:rPr>
          <w:fldChar w:fldCharType="end"/>
        </w:r>
      </w:hyperlink>
    </w:p>
    <w:p>
      <w:pPr>
        <w:pStyle w:val="TableofFigures"/>
        <w:tabs>
          <w:tab w:val="left" w:pos="1418"/>
          <w:tab w:val="left" w:pos="1701"/>
          <w:tab w:val="right" w:leader="dot" w:pos="6237"/>
        </w:tabs>
        <w:spacing w:line="360" w:lineRule="auto"/>
        <w:ind w:left="1418" w:right="283" w:hanging="1134"/>
        <w:jc w:val="both"/>
        <w:rPr>
          <w:rFonts w:eastAsiaTheme="minorEastAsia"/>
          <w:noProof/>
          <w:lang w:val="en-ID" w:eastAsia="en-ID"/>
        </w:rPr>
      </w:pPr>
      <w:hyperlink w:anchor="_Toc117519534" w:history="1">
        <w:r>
          <w:rPr>
            <w:rStyle w:val="Hyperlink"/>
            <w:b/>
            <w:bCs/>
            <w:noProof/>
          </w:rPr>
          <w:t>Tabel 4. 15</w:t>
        </w:r>
        <w:r>
          <w:rPr>
            <w:rFonts w:eastAsiaTheme="minorEastAsia"/>
            <w:noProof/>
            <w:lang w:val="en-ID" w:eastAsia="en-ID"/>
          </w:rPr>
          <w:tab/>
        </w:r>
        <w:r>
          <w:rPr>
            <w:rStyle w:val="Hyperlink"/>
            <w:rFonts w:cs="Arial"/>
            <w:b/>
            <w:bCs/>
            <w:noProof/>
          </w:rPr>
          <w:t>Persentase Penduduk Umur 5 Tahun ke Atas yang</w:t>
        </w:r>
        <w:r>
          <w:rPr>
            <w:rStyle w:val="Hyperlink"/>
            <w:rFonts w:cs="Arial"/>
            <w:b/>
            <w:bCs/>
            <w:noProof/>
            <w:lang w:val="en-US"/>
          </w:rPr>
          <w:t xml:space="preserve"> </w:t>
        </w:r>
        <w:r>
          <w:rPr>
            <w:rStyle w:val="Hyperlink"/>
            <w:rFonts w:cs="Arial"/>
            <w:b/>
            <w:bCs/>
            <w:noProof/>
          </w:rPr>
          <w:t>Menggunakan</w:t>
        </w:r>
        <w:r>
          <w:rPr>
            <w:rStyle w:val="Hyperlink"/>
            <w:rFonts w:cs="Arial"/>
            <w:b/>
            <w:bCs/>
            <w:noProof/>
            <w:lang w:val="en-US"/>
          </w:rPr>
          <w:t xml:space="preserve"> </w:t>
        </w:r>
        <w:r>
          <w:rPr>
            <w:rStyle w:val="Hyperlink"/>
            <w:rFonts w:cs="Arial"/>
            <w:b/>
            <w:bCs/>
            <w:noProof/>
          </w:rPr>
          <w:t>Komputer (PC/Desktop, Laptop/Notebook, Tablet) Dalam 3 Bulan Terakhir Menurut Kabupaten/Kota dan Jenis Kelamin, 2021</w:t>
        </w:r>
        <w:r>
          <w:rPr>
            <w:noProof/>
            <w:webHidden/>
          </w:rPr>
          <w:tab/>
        </w:r>
        <w:r>
          <w:rPr>
            <w:noProof/>
            <w:webHidden/>
          </w:rPr>
          <w:fldChar w:fldCharType="begin"/>
        </w:r>
        <w:r>
          <w:rPr>
            <w:noProof/>
            <w:webHidden/>
          </w:rPr>
          <w:instrText xml:space="preserve"> PAGEREF _Toc117519534 \h </w:instrText>
        </w:r>
        <w:r>
          <w:rPr>
            <w:noProof/>
            <w:webHidden/>
          </w:rPr>
        </w:r>
        <w:r>
          <w:rPr>
            <w:noProof/>
            <w:webHidden/>
          </w:rPr>
          <w:fldChar w:fldCharType="separate"/>
        </w:r>
        <w:r>
          <w:rPr>
            <w:noProof/>
            <w:webHidden/>
          </w:rPr>
          <w:t>87</w:t>
        </w:r>
        <w:r>
          <w:rPr>
            <w:noProof/>
            <w:webHidden/>
          </w:rPr>
          <w:fldChar w:fldCharType="end"/>
        </w:r>
      </w:hyperlink>
    </w:p>
    <w:p>
      <w:pPr>
        <w:pStyle w:val="TableofFigures"/>
        <w:tabs>
          <w:tab w:val="right" w:leader="dot" w:pos="6237"/>
        </w:tabs>
        <w:spacing w:line="360" w:lineRule="auto"/>
        <w:ind w:left="1418" w:right="283" w:hanging="1134"/>
        <w:jc w:val="both"/>
        <w:rPr>
          <w:rFonts w:eastAsiaTheme="minorEastAsia"/>
          <w:noProof/>
          <w:lang w:val="en-ID" w:eastAsia="en-ID"/>
        </w:rPr>
      </w:pPr>
      <w:hyperlink w:anchor="_Toc117519535" w:history="1">
        <w:r>
          <w:rPr>
            <w:rStyle w:val="Hyperlink"/>
            <w:b/>
            <w:bCs/>
            <w:noProof/>
          </w:rPr>
          <w:t>Tabel 4. 16</w:t>
        </w:r>
        <w:r>
          <w:rPr>
            <w:rFonts w:eastAsiaTheme="minorEastAsia"/>
            <w:noProof/>
            <w:lang w:val="en-ID" w:eastAsia="en-ID"/>
          </w:rPr>
          <w:tab/>
        </w:r>
        <w:r>
          <w:rPr>
            <w:rStyle w:val="Hyperlink"/>
            <w:rFonts w:cs="Arial"/>
            <w:b/>
            <w:bCs/>
            <w:noProof/>
          </w:rPr>
          <w:t>Persentase Penduduk Umur 5 Tahun ke Atas yang Pernah Mengakses Internet (termasuk Facebook, Twitter, BBM, Whatsapp) Dalam 3 Bulan Terakhir Menurut Kabupaten/Kota dan Jenis Kelamin, 2021</w:t>
        </w:r>
        <w:r>
          <w:rPr>
            <w:rStyle w:val="Hyperlink"/>
            <w:rFonts w:cs="Arial"/>
            <w:b/>
            <w:bCs/>
            <w:noProof/>
          </w:rPr>
          <w:tab/>
        </w:r>
        <w:r>
          <w:rPr>
            <w:noProof/>
            <w:webHidden/>
          </w:rPr>
          <w:fldChar w:fldCharType="begin"/>
        </w:r>
        <w:r>
          <w:rPr>
            <w:noProof/>
            <w:webHidden/>
          </w:rPr>
          <w:instrText xml:space="preserve"> PAGEREF _Toc117519535 \h </w:instrText>
        </w:r>
        <w:r>
          <w:rPr>
            <w:noProof/>
            <w:webHidden/>
          </w:rPr>
        </w:r>
        <w:r>
          <w:rPr>
            <w:noProof/>
            <w:webHidden/>
          </w:rPr>
          <w:fldChar w:fldCharType="separate"/>
        </w:r>
        <w:r>
          <w:rPr>
            <w:noProof/>
            <w:webHidden/>
          </w:rPr>
          <w:t>90</w:t>
        </w:r>
        <w:r>
          <w:rPr>
            <w:noProof/>
            <w:webHidden/>
          </w:rPr>
          <w:fldChar w:fldCharType="end"/>
        </w:r>
      </w:hyperlink>
    </w:p>
    <w:p>
      <w:pPr>
        <w:tabs>
          <w:tab w:val="left" w:pos="1418"/>
          <w:tab w:val="right" w:leader="dot" w:pos="6237"/>
          <w:tab w:val="right" w:leader="dot" w:pos="6379"/>
          <w:tab w:val="right" w:leader="dot" w:pos="7470"/>
        </w:tabs>
        <w:spacing w:after="0" w:line="360" w:lineRule="auto"/>
        <w:ind w:left="1418" w:right="283" w:hanging="1134"/>
        <w:jc w:val="both"/>
        <w:rPr>
          <w:noProof/>
        </w:rPr>
      </w:pPr>
      <w:r>
        <w:rPr>
          <w:rFonts w:cstheme="minorHAnsi"/>
        </w:rPr>
        <w:lastRenderedPageBreak/>
        <w:fldChar w:fldCharType="end"/>
      </w:r>
      <w:r>
        <w:rPr>
          <w:rFonts w:cstheme="minorHAnsi"/>
        </w:rPr>
        <w:fldChar w:fldCharType="begin"/>
      </w:r>
      <w:r>
        <w:rPr>
          <w:rFonts w:cstheme="minorHAnsi"/>
        </w:rPr>
        <w:instrText xml:space="preserve"> TOC \h \z \c "Tabel 5." </w:instrText>
      </w:r>
      <w:r>
        <w:rPr>
          <w:rFonts w:cstheme="minorHAnsi"/>
        </w:rPr>
        <w:fldChar w:fldCharType="separate"/>
      </w:r>
      <w:hyperlink w:anchor="_Toc118716954" w:history="1">
        <w:r>
          <w:rPr>
            <w:rStyle w:val="Hyperlink"/>
            <w:b/>
            <w:bCs/>
            <w:noProof/>
          </w:rPr>
          <w:t>Tabel 5. 1</w:t>
        </w:r>
        <w:r>
          <w:rPr>
            <w:rFonts w:eastAsiaTheme="minorEastAsia"/>
            <w:noProof/>
            <w:lang w:val="en-ID" w:eastAsia="en-ID"/>
          </w:rPr>
          <w:tab/>
        </w:r>
        <w:r>
          <w:rPr>
            <w:rStyle w:val="Hyperlink"/>
            <w:rFonts w:ascii="Calibri" w:hAnsi="Calibri" w:cs="Arial"/>
            <w:b/>
            <w:bCs/>
            <w:noProof/>
          </w:rPr>
          <w:t>Umur Harapan Hidup Menurut Kabupaten/Kota dan Jenis Kelamin, 2019-2021</w:t>
        </w:r>
        <w:r>
          <w:rPr>
            <w:noProof/>
            <w:webHidden/>
          </w:rPr>
          <w:tab/>
        </w:r>
        <w:r>
          <w:rPr>
            <w:noProof/>
            <w:webHidden/>
          </w:rPr>
          <w:fldChar w:fldCharType="begin"/>
        </w:r>
        <w:r>
          <w:rPr>
            <w:noProof/>
            <w:webHidden/>
          </w:rPr>
          <w:instrText xml:space="preserve"> PAGEREF _Toc118716954 \h </w:instrText>
        </w:r>
        <w:r>
          <w:rPr>
            <w:noProof/>
            <w:webHidden/>
          </w:rPr>
        </w:r>
        <w:r>
          <w:rPr>
            <w:noProof/>
            <w:webHidden/>
          </w:rPr>
          <w:fldChar w:fldCharType="separate"/>
        </w:r>
        <w:r>
          <w:rPr>
            <w:noProof/>
            <w:webHidden/>
          </w:rPr>
          <w:t>97</w:t>
        </w:r>
        <w:r>
          <w:rPr>
            <w:noProof/>
            <w:webHidden/>
          </w:rPr>
          <w:fldChar w:fldCharType="end"/>
        </w:r>
      </w:hyperlink>
    </w:p>
    <w:p>
      <w:pPr>
        <w:pStyle w:val="TableofFigures"/>
        <w:tabs>
          <w:tab w:val="left" w:pos="1418"/>
          <w:tab w:val="right" w:leader="dot" w:pos="6237"/>
          <w:tab w:val="right" w:leader="dot" w:pos="6510"/>
        </w:tabs>
        <w:spacing w:line="360" w:lineRule="auto"/>
        <w:ind w:left="1418" w:hanging="1134"/>
        <w:rPr>
          <w:rFonts w:eastAsiaTheme="minorEastAsia"/>
          <w:noProof/>
          <w:lang w:val="en-ID" w:eastAsia="en-ID"/>
        </w:rPr>
      </w:pPr>
      <w:hyperlink w:anchor="_Toc118716955" w:history="1">
        <w:r>
          <w:rPr>
            <w:rStyle w:val="Hyperlink"/>
            <w:b/>
            <w:bCs/>
            <w:noProof/>
          </w:rPr>
          <w:t>Tabel 5. 2</w:t>
        </w:r>
        <w:r>
          <w:rPr>
            <w:rStyle w:val="Hyperlink"/>
            <w:b/>
            <w:bCs/>
            <w:noProof/>
            <w:lang w:val="en-US"/>
          </w:rPr>
          <w:t xml:space="preserve"> </w:t>
        </w:r>
        <w:r>
          <w:rPr>
            <w:rFonts w:eastAsiaTheme="minorEastAsia"/>
            <w:noProof/>
            <w:lang w:val="en-ID" w:eastAsia="en-ID"/>
          </w:rPr>
          <w:tab/>
        </w:r>
        <w:r>
          <w:rPr>
            <w:rStyle w:val="Hyperlink"/>
            <w:rFonts w:ascii="Calibri" w:hAnsi="Calibri" w:cs="Arial"/>
            <w:b/>
            <w:bCs/>
            <w:noProof/>
          </w:rPr>
          <w:t>Jumlah Kematian Ibu Melahirkan Menurut Kabupaten/Kota,  2021</w:t>
        </w:r>
        <w:r>
          <w:rPr>
            <w:noProof/>
            <w:webHidden/>
          </w:rPr>
          <w:tab/>
        </w:r>
        <w:r>
          <w:rPr>
            <w:noProof/>
            <w:webHidden/>
          </w:rPr>
          <w:fldChar w:fldCharType="begin"/>
        </w:r>
        <w:r>
          <w:rPr>
            <w:noProof/>
            <w:webHidden/>
          </w:rPr>
          <w:instrText xml:space="preserve"> PAGEREF _Toc118716955 \h </w:instrText>
        </w:r>
        <w:r>
          <w:rPr>
            <w:noProof/>
            <w:webHidden/>
          </w:rPr>
        </w:r>
        <w:r>
          <w:rPr>
            <w:noProof/>
            <w:webHidden/>
          </w:rPr>
          <w:fldChar w:fldCharType="separate"/>
        </w:r>
        <w:r>
          <w:rPr>
            <w:noProof/>
            <w:webHidden/>
          </w:rPr>
          <w:t>100</w:t>
        </w:r>
        <w:r>
          <w:rPr>
            <w:noProof/>
            <w:webHidden/>
          </w:rPr>
          <w:fldChar w:fldCharType="end"/>
        </w:r>
      </w:hyperlink>
    </w:p>
    <w:p>
      <w:pPr>
        <w:pStyle w:val="TableofFigures"/>
        <w:tabs>
          <w:tab w:val="left" w:pos="1134"/>
          <w:tab w:val="left" w:pos="1418"/>
          <w:tab w:val="right" w:leader="dot" w:pos="6237"/>
          <w:tab w:val="right" w:leader="dot" w:pos="6510"/>
        </w:tabs>
        <w:spacing w:line="360" w:lineRule="auto"/>
        <w:ind w:left="1418" w:hanging="1134"/>
        <w:rPr>
          <w:rFonts w:eastAsiaTheme="minorEastAsia"/>
          <w:noProof/>
          <w:lang w:val="en-ID" w:eastAsia="en-ID"/>
        </w:rPr>
      </w:pPr>
      <w:hyperlink w:anchor="_Toc118716956" w:history="1">
        <w:r>
          <w:rPr>
            <w:rStyle w:val="Hyperlink"/>
            <w:b/>
            <w:bCs/>
            <w:noProof/>
          </w:rPr>
          <w:t>Tabel 5. 3</w:t>
        </w:r>
        <w:r>
          <w:rPr>
            <w:rFonts w:eastAsiaTheme="minorEastAsia"/>
            <w:noProof/>
            <w:lang w:val="en-ID" w:eastAsia="en-ID"/>
          </w:rPr>
          <w:tab/>
        </w:r>
        <w:r>
          <w:rPr>
            <w:rStyle w:val="Hyperlink"/>
            <w:b/>
            <w:bCs/>
            <w:noProof/>
            <w:lang w:val="en-US"/>
          </w:rPr>
          <w:t xml:space="preserve"> </w:t>
        </w:r>
        <w:r>
          <w:rPr>
            <w:rStyle w:val="Hyperlink"/>
            <w:rFonts w:ascii="Calibri" w:hAnsi="Calibri" w:cs="Arial"/>
            <w:b/>
            <w:bCs/>
            <w:noProof/>
          </w:rPr>
          <w:t>Jumlah Kematian Ibu Karena Hamil, Melahirkan, dan Nifas Menurut Penyebab Kematian dan Kabupaten/Kota, 2021</w:t>
        </w:r>
        <w:r>
          <w:rPr>
            <w:noProof/>
            <w:webHidden/>
          </w:rPr>
          <w:tab/>
        </w:r>
        <w:r>
          <w:rPr>
            <w:noProof/>
            <w:webHidden/>
          </w:rPr>
          <w:fldChar w:fldCharType="begin"/>
        </w:r>
        <w:r>
          <w:rPr>
            <w:noProof/>
            <w:webHidden/>
          </w:rPr>
          <w:instrText xml:space="preserve"> PAGEREF _Toc118716956 \h </w:instrText>
        </w:r>
        <w:r>
          <w:rPr>
            <w:noProof/>
            <w:webHidden/>
          </w:rPr>
        </w:r>
        <w:r>
          <w:rPr>
            <w:noProof/>
            <w:webHidden/>
          </w:rPr>
          <w:fldChar w:fldCharType="separate"/>
        </w:r>
        <w:r>
          <w:rPr>
            <w:noProof/>
            <w:webHidden/>
          </w:rPr>
          <w:t>102</w:t>
        </w:r>
        <w:r>
          <w:rPr>
            <w:noProof/>
            <w:webHidden/>
          </w:rPr>
          <w:fldChar w:fldCharType="end"/>
        </w:r>
      </w:hyperlink>
    </w:p>
    <w:p>
      <w:pPr>
        <w:pStyle w:val="TableofFigures"/>
        <w:tabs>
          <w:tab w:val="left" w:pos="1418"/>
          <w:tab w:val="right" w:leader="dot" w:pos="6237"/>
          <w:tab w:val="right" w:leader="dot" w:pos="6510"/>
        </w:tabs>
        <w:spacing w:line="360" w:lineRule="auto"/>
        <w:ind w:left="1418" w:hanging="1134"/>
        <w:rPr>
          <w:rFonts w:eastAsiaTheme="minorEastAsia"/>
          <w:noProof/>
          <w:lang w:val="en-ID" w:eastAsia="en-ID"/>
        </w:rPr>
      </w:pPr>
      <w:hyperlink w:anchor="_Toc118716957" w:history="1">
        <w:r>
          <w:rPr>
            <w:rStyle w:val="Hyperlink"/>
            <w:b/>
            <w:bCs/>
            <w:noProof/>
          </w:rPr>
          <w:t>Tabel 5. 4</w:t>
        </w:r>
        <w:r>
          <w:rPr>
            <w:rStyle w:val="Hyperlink"/>
            <w:b/>
            <w:bCs/>
            <w:noProof/>
            <w:lang w:val="en-US"/>
          </w:rPr>
          <w:t xml:space="preserve"> </w:t>
        </w:r>
        <w:r>
          <w:rPr>
            <w:rFonts w:eastAsiaTheme="minorEastAsia"/>
            <w:noProof/>
            <w:lang w:val="en-ID" w:eastAsia="en-ID"/>
          </w:rPr>
          <w:tab/>
        </w:r>
        <w:r>
          <w:rPr>
            <w:rStyle w:val="Hyperlink"/>
            <w:rFonts w:ascii="Calibri" w:hAnsi="Calibri" w:cs="Arial"/>
            <w:b/>
            <w:bCs/>
            <w:noProof/>
          </w:rPr>
          <w:t>Persentase Ibu Hamil yang Mendapat Tablet Zat Besi (Fe) Menurut Kabupaten/Kota, 2021</w:t>
        </w:r>
        <w:r>
          <w:rPr>
            <w:noProof/>
            <w:webHidden/>
          </w:rPr>
          <w:tab/>
        </w:r>
        <w:r>
          <w:rPr>
            <w:noProof/>
            <w:webHidden/>
          </w:rPr>
          <w:fldChar w:fldCharType="begin"/>
        </w:r>
        <w:r>
          <w:rPr>
            <w:noProof/>
            <w:webHidden/>
          </w:rPr>
          <w:instrText xml:space="preserve"> PAGEREF _Toc118716957 \h </w:instrText>
        </w:r>
        <w:r>
          <w:rPr>
            <w:noProof/>
            <w:webHidden/>
          </w:rPr>
        </w:r>
        <w:r>
          <w:rPr>
            <w:noProof/>
            <w:webHidden/>
          </w:rPr>
          <w:fldChar w:fldCharType="separate"/>
        </w:r>
        <w:r>
          <w:rPr>
            <w:noProof/>
            <w:webHidden/>
          </w:rPr>
          <w:t>105</w:t>
        </w:r>
        <w:r>
          <w:rPr>
            <w:noProof/>
            <w:webHidden/>
          </w:rPr>
          <w:fldChar w:fldCharType="end"/>
        </w:r>
      </w:hyperlink>
    </w:p>
    <w:p>
      <w:pPr>
        <w:pStyle w:val="TableofFigures"/>
        <w:tabs>
          <w:tab w:val="left" w:pos="1134"/>
          <w:tab w:val="left" w:pos="1418"/>
          <w:tab w:val="right" w:leader="dot" w:pos="6237"/>
        </w:tabs>
        <w:spacing w:line="360" w:lineRule="auto"/>
        <w:ind w:left="1418" w:right="283" w:hanging="1134"/>
        <w:jc w:val="both"/>
        <w:rPr>
          <w:rFonts w:eastAsiaTheme="minorEastAsia"/>
          <w:noProof/>
          <w:lang w:val="en-ID" w:eastAsia="en-ID"/>
        </w:rPr>
      </w:pPr>
      <w:hyperlink w:anchor="_Toc118716958" w:history="1">
        <w:r>
          <w:rPr>
            <w:rStyle w:val="Hyperlink"/>
            <w:b/>
            <w:bCs/>
            <w:noProof/>
          </w:rPr>
          <w:t>Tabel 5. 6</w:t>
        </w:r>
        <w:r>
          <w:rPr>
            <w:rFonts w:eastAsiaTheme="minorEastAsia"/>
            <w:noProof/>
            <w:lang w:val="en-ID" w:eastAsia="en-ID"/>
          </w:rPr>
          <w:tab/>
        </w:r>
        <w:r>
          <w:rPr>
            <w:rStyle w:val="Hyperlink"/>
            <w:b/>
            <w:bCs/>
            <w:noProof/>
          </w:rPr>
          <w:t xml:space="preserve"> </w:t>
        </w:r>
        <w:r>
          <w:rPr>
            <w:rStyle w:val="Hyperlink"/>
            <w:rFonts w:ascii="Calibri" w:hAnsi="Calibri" w:cs="Arial"/>
            <w:b/>
            <w:bCs/>
            <w:noProof/>
          </w:rPr>
          <w:t>Persentase Wanita yang Berstatus Pernah Kawin Umur 15-49 Tahun Menurut Alat/Cara KB yang Sedang Digunakan, 2019-2021</w:t>
        </w:r>
        <w:r>
          <w:rPr>
            <w:noProof/>
            <w:webHidden/>
          </w:rPr>
          <w:tab/>
        </w:r>
        <w:r>
          <w:rPr>
            <w:noProof/>
            <w:webHidden/>
          </w:rPr>
          <w:fldChar w:fldCharType="begin"/>
        </w:r>
        <w:r>
          <w:rPr>
            <w:noProof/>
            <w:webHidden/>
          </w:rPr>
          <w:instrText xml:space="preserve"> PAGEREF _Toc118716958 \h </w:instrText>
        </w:r>
        <w:r>
          <w:rPr>
            <w:noProof/>
            <w:webHidden/>
          </w:rPr>
        </w:r>
        <w:r>
          <w:rPr>
            <w:noProof/>
            <w:webHidden/>
          </w:rPr>
          <w:fldChar w:fldCharType="separate"/>
        </w:r>
        <w:r>
          <w:rPr>
            <w:noProof/>
            <w:webHidden/>
          </w:rPr>
          <w:t>110</w:t>
        </w:r>
        <w:r>
          <w:rPr>
            <w:noProof/>
            <w:webHidden/>
          </w:rPr>
          <w:fldChar w:fldCharType="end"/>
        </w:r>
      </w:hyperlink>
    </w:p>
    <w:p>
      <w:pPr>
        <w:pStyle w:val="TableofFigures"/>
        <w:tabs>
          <w:tab w:val="left" w:pos="1134"/>
          <w:tab w:val="left" w:pos="1418"/>
          <w:tab w:val="right" w:leader="dot" w:pos="6237"/>
        </w:tabs>
        <w:spacing w:line="360" w:lineRule="auto"/>
        <w:ind w:left="1418" w:right="283" w:hanging="1134"/>
        <w:jc w:val="both"/>
        <w:rPr>
          <w:rFonts w:eastAsiaTheme="minorEastAsia"/>
          <w:noProof/>
          <w:lang w:val="en-ID" w:eastAsia="en-ID"/>
        </w:rPr>
      </w:pPr>
      <w:hyperlink w:anchor="_Toc118716959" w:history="1">
        <w:r>
          <w:rPr>
            <w:rStyle w:val="Hyperlink"/>
            <w:b/>
            <w:bCs/>
            <w:noProof/>
          </w:rPr>
          <w:t>Tabel 5. 7</w:t>
        </w:r>
        <w:r>
          <w:rPr>
            <w:rFonts w:eastAsiaTheme="minorEastAsia"/>
            <w:noProof/>
            <w:lang w:val="en-ID" w:eastAsia="en-ID"/>
          </w:rPr>
          <w:tab/>
        </w:r>
        <w:r>
          <w:rPr>
            <w:rStyle w:val="Hyperlink"/>
            <w:b/>
            <w:bCs/>
            <w:noProof/>
          </w:rPr>
          <w:t xml:space="preserve"> </w:t>
        </w:r>
        <w:r>
          <w:rPr>
            <w:rStyle w:val="Hyperlink"/>
            <w:rFonts w:ascii="Calibri" w:hAnsi="Calibri" w:cs="Arial"/>
            <w:b/>
            <w:bCs/>
            <w:noProof/>
          </w:rPr>
          <w:t>Persentase Perempuan Umur 10 Tahun ke Atas Pernah Kawin Menurut Kabupaten/Kota dan Umur Perkawinan Pertama, 2021</w:t>
        </w:r>
        <w:r>
          <w:rPr>
            <w:noProof/>
            <w:webHidden/>
          </w:rPr>
          <w:tab/>
        </w:r>
        <w:r>
          <w:rPr>
            <w:noProof/>
            <w:webHidden/>
          </w:rPr>
          <w:fldChar w:fldCharType="begin"/>
        </w:r>
        <w:r>
          <w:rPr>
            <w:noProof/>
            <w:webHidden/>
          </w:rPr>
          <w:instrText xml:space="preserve"> PAGEREF _Toc118716959 \h </w:instrText>
        </w:r>
        <w:r>
          <w:rPr>
            <w:noProof/>
            <w:webHidden/>
          </w:rPr>
        </w:r>
        <w:r>
          <w:rPr>
            <w:noProof/>
            <w:webHidden/>
          </w:rPr>
          <w:fldChar w:fldCharType="separate"/>
        </w:r>
        <w:r>
          <w:rPr>
            <w:noProof/>
            <w:webHidden/>
          </w:rPr>
          <w:t>113</w:t>
        </w:r>
        <w:r>
          <w:rPr>
            <w:noProof/>
            <w:webHidden/>
          </w:rPr>
          <w:fldChar w:fldCharType="end"/>
        </w:r>
      </w:hyperlink>
    </w:p>
    <w:p>
      <w:pPr>
        <w:tabs>
          <w:tab w:val="right" w:leader="dot" w:pos="6237"/>
        </w:tabs>
        <w:spacing w:after="0" w:line="360" w:lineRule="auto"/>
        <w:ind w:left="1418" w:right="283" w:hanging="1134"/>
        <w:jc w:val="both"/>
        <w:rPr>
          <w:rFonts w:eastAsiaTheme="minorEastAsia"/>
          <w:noProof/>
          <w:lang w:val="en-ID" w:eastAsia="en-ID"/>
        </w:rPr>
      </w:pPr>
      <w:r>
        <w:rPr>
          <w:rFonts w:cstheme="minorHAnsi"/>
        </w:rPr>
        <w:fldChar w:fldCharType="end"/>
      </w:r>
      <w:r>
        <w:rPr>
          <w:rFonts w:cstheme="minorHAnsi"/>
        </w:rPr>
        <w:fldChar w:fldCharType="begin"/>
      </w:r>
      <w:r>
        <w:rPr>
          <w:rFonts w:cstheme="minorHAnsi"/>
        </w:rPr>
        <w:instrText xml:space="preserve"> TOC \h \z \c "Tabel 6." </w:instrText>
      </w:r>
      <w:r>
        <w:rPr>
          <w:rFonts w:cstheme="minorHAnsi"/>
        </w:rPr>
        <w:fldChar w:fldCharType="separate"/>
      </w:r>
      <w:hyperlink w:anchor="_Toc117550292" w:history="1">
        <w:r>
          <w:rPr>
            <w:rStyle w:val="Hyperlink"/>
            <w:b/>
            <w:noProof/>
          </w:rPr>
          <w:t>Tabel 6. 1</w:t>
        </w:r>
        <w:r>
          <w:rPr>
            <w:rFonts w:eastAsiaTheme="minorEastAsia"/>
            <w:noProof/>
            <w:lang w:val="en-ID" w:eastAsia="en-ID"/>
          </w:rPr>
          <w:tab/>
        </w:r>
        <w:r>
          <w:rPr>
            <w:rStyle w:val="Hyperlink"/>
            <w:b/>
            <w:noProof/>
          </w:rPr>
          <w:t>Jumlah Anggota DPRD Menurut Kabupaten/Kota dan Jenis Kelamin</w:t>
        </w:r>
        <w:r>
          <w:rPr>
            <w:rStyle w:val="Hyperlink"/>
            <w:b/>
            <w:noProof/>
            <w:lang w:val="en-US"/>
          </w:rPr>
          <w:t xml:space="preserve"> di Provinsi Kalimantan Tengah</w:t>
        </w:r>
        <w:r>
          <w:rPr>
            <w:rStyle w:val="Hyperlink"/>
            <w:b/>
            <w:noProof/>
          </w:rPr>
          <w:t>, 20</w:t>
        </w:r>
        <w:r>
          <w:rPr>
            <w:rStyle w:val="Hyperlink"/>
            <w:b/>
            <w:noProof/>
            <w:lang w:val="en-US"/>
          </w:rPr>
          <w:t>21</w:t>
        </w:r>
        <w:r>
          <w:rPr>
            <w:noProof/>
            <w:webHidden/>
          </w:rPr>
          <w:tab/>
        </w:r>
        <w:r>
          <w:rPr>
            <w:noProof/>
            <w:webHidden/>
          </w:rPr>
          <w:fldChar w:fldCharType="begin"/>
        </w:r>
        <w:r>
          <w:rPr>
            <w:noProof/>
            <w:webHidden/>
          </w:rPr>
          <w:instrText xml:space="preserve"> PAGEREF _Toc117550292 \h </w:instrText>
        </w:r>
        <w:r>
          <w:rPr>
            <w:noProof/>
            <w:webHidden/>
          </w:rPr>
        </w:r>
        <w:r>
          <w:rPr>
            <w:noProof/>
            <w:webHidden/>
          </w:rPr>
          <w:fldChar w:fldCharType="separate"/>
        </w:r>
        <w:r>
          <w:rPr>
            <w:noProof/>
            <w:webHidden/>
          </w:rPr>
          <w:t>119</w:t>
        </w:r>
        <w:r>
          <w:rPr>
            <w:noProof/>
            <w:webHidden/>
          </w:rPr>
          <w:fldChar w:fldCharType="end"/>
        </w:r>
      </w:hyperlink>
    </w:p>
    <w:p>
      <w:pPr>
        <w:pStyle w:val="TableofFigures"/>
        <w:tabs>
          <w:tab w:val="right" w:leader="dot" w:pos="6237"/>
        </w:tabs>
        <w:spacing w:line="360" w:lineRule="auto"/>
        <w:ind w:left="1418" w:right="283" w:hanging="1134"/>
        <w:jc w:val="both"/>
        <w:rPr>
          <w:rFonts w:eastAsiaTheme="minorEastAsia"/>
          <w:noProof/>
          <w:lang w:val="en-ID" w:eastAsia="en-ID"/>
        </w:rPr>
      </w:pPr>
      <w:hyperlink w:anchor="_Toc117550293" w:history="1">
        <w:r>
          <w:rPr>
            <w:rStyle w:val="Hyperlink"/>
            <w:b/>
            <w:bCs/>
            <w:noProof/>
          </w:rPr>
          <w:t>Tabel 6. 2</w:t>
        </w:r>
        <w:r>
          <w:rPr>
            <w:rFonts w:eastAsiaTheme="minorEastAsia"/>
            <w:noProof/>
            <w:lang w:val="en-ID" w:eastAsia="en-ID"/>
          </w:rPr>
          <w:tab/>
        </w:r>
        <w:r>
          <w:rPr>
            <w:rStyle w:val="Hyperlink"/>
            <w:b/>
            <w:bCs/>
            <w:noProof/>
          </w:rPr>
          <w:t>Jumlah dan Persentase Jaksa Menurut Kabupaten/Kota dan Jenis Kelamin, 2016</w:t>
        </w:r>
        <w:r>
          <w:rPr>
            <w:noProof/>
            <w:webHidden/>
          </w:rPr>
          <w:tab/>
        </w:r>
        <w:r>
          <w:rPr>
            <w:noProof/>
            <w:webHidden/>
          </w:rPr>
          <w:fldChar w:fldCharType="begin"/>
        </w:r>
        <w:r>
          <w:rPr>
            <w:noProof/>
            <w:webHidden/>
          </w:rPr>
          <w:instrText xml:space="preserve"> PAGEREF _Toc117550293 \h </w:instrText>
        </w:r>
        <w:r>
          <w:rPr>
            <w:noProof/>
            <w:webHidden/>
          </w:rPr>
        </w:r>
        <w:r>
          <w:rPr>
            <w:noProof/>
            <w:webHidden/>
          </w:rPr>
          <w:fldChar w:fldCharType="separate"/>
        </w:r>
        <w:r>
          <w:rPr>
            <w:noProof/>
            <w:webHidden/>
          </w:rPr>
          <w:t>123</w:t>
        </w:r>
        <w:r>
          <w:rPr>
            <w:noProof/>
            <w:webHidden/>
          </w:rPr>
          <w:fldChar w:fldCharType="end"/>
        </w:r>
      </w:hyperlink>
    </w:p>
    <w:p>
      <w:pPr>
        <w:pStyle w:val="TableofFigures"/>
        <w:tabs>
          <w:tab w:val="right" w:leader="dot" w:pos="6237"/>
        </w:tabs>
        <w:spacing w:line="360" w:lineRule="auto"/>
        <w:ind w:left="1418" w:right="283" w:hanging="1134"/>
        <w:jc w:val="both"/>
        <w:rPr>
          <w:rFonts w:eastAsiaTheme="minorEastAsia"/>
          <w:noProof/>
          <w:lang w:val="en-ID" w:eastAsia="en-ID"/>
        </w:rPr>
      </w:pPr>
      <w:hyperlink w:anchor="_Toc117550294" w:history="1">
        <w:r>
          <w:rPr>
            <w:rStyle w:val="Hyperlink"/>
            <w:b/>
            <w:bCs/>
            <w:noProof/>
          </w:rPr>
          <w:t>Tabel 6. 3</w:t>
        </w:r>
        <w:r>
          <w:rPr>
            <w:rFonts w:eastAsiaTheme="minorEastAsia"/>
            <w:noProof/>
            <w:lang w:val="en-ID" w:eastAsia="en-ID"/>
          </w:rPr>
          <w:tab/>
        </w:r>
        <w:r>
          <w:rPr>
            <w:rStyle w:val="Hyperlink"/>
            <w:b/>
            <w:bCs/>
            <w:noProof/>
          </w:rPr>
          <w:t>Jumlah dan Persentase Hakim Menurut Kabupaten/Kota dan Jenis Kelamin, 2016</w:t>
        </w:r>
        <w:r>
          <w:rPr>
            <w:noProof/>
            <w:webHidden/>
          </w:rPr>
          <w:tab/>
        </w:r>
        <w:r>
          <w:rPr>
            <w:noProof/>
            <w:webHidden/>
          </w:rPr>
          <w:fldChar w:fldCharType="begin"/>
        </w:r>
        <w:r>
          <w:rPr>
            <w:noProof/>
            <w:webHidden/>
          </w:rPr>
          <w:instrText xml:space="preserve"> PAGEREF _Toc117550294 \h </w:instrText>
        </w:r>
        <w:r>
          <w:rPr>
            <w:noProof/>
            <w:webHidden/>
          </w:rPr>
        </w:r>
        <w:r>
          <w:rPr>
            <w:noProof/>
            <w:webHidden/>
          </w:rPr>
          <w:fldChar w:fldCharType="separate"/>
        </w:r>
        <w:r>
          <w:rPr>
            <w:noProof/>
            <w:webHidden/>
          </w:rPr>
          <w:t>124</w:t>
        </w:r>
        <w:r>
          <w:rPr>
            <w:noProof/>
            <w:webHidden/>
          </w:rPr>
          <w:fldChar w:fldCharType="end"/>
        </w:r>
      </w:hyperlink>
    </w:p>
    <w:p>
      <w:pPr>
        <w:pStyle w:val="TableofFigures"/>
        <w:tabs>
          <w:tab w:val="right" w:leader="dot" w:pos="6237"/>
        </w:tabs>
        <w:spacing w:line="360" w:lineRule="auto"/>
        <w:ind w:left="1418" w:right="283" w:hanging="1134"/>
        <w:jc w:val="both"/>
        <w:rPr>
          <w:rFonts w:eastAsiaTheme="minorEastAsia"/>
          <w:noProof/>
          <w:lang w:val="en-ID" w:eastAsia="en-ID"/>
        </w:rPr>
      </w:pPr>
      <w:hyperlink w:anchor="_Toc117550295" w:history="1">
        <w:r>
          <w:rPr>
            <w:rStyle w:val="Hyperlink"/>
            <w:b/>
            <w:bCs/>
            <w:noProof/>
          </w:rPr>
          <w:t>Tabel 6. 4</w:t>
        </w:r>
        <w:r>
          <w:rPr>
            <w:rFonts w:eastAsiaTheme="minorEastAsia"/>
            <w:noProof/>
            <w:lang w:val="en-ID" w:eastAsia="en-ID"/>
          </w:rPr>
          <w:tab/>
        </w:r>
        <w:r>
          <w:rPr>
            <w:rStyle w:val="Hyperlink"/>
            <w:b/>
            <w:bCs/>
            <w:noProof/>
          </w:rPr>
          <w:t xml:space="preserve"> Jumlah dan Persentase Polisi Menurut Kabupaten/Kota dan Jenis Kelamin, 20</w:t>
        </w:r>
        <w:r>
          <w:rPr>
            <w:rStyle w:val="Hyperlink"/>
            <w:b/>
            <w:bCs/>
            <w:noProof/>
            <w:lang w:val="en-US"/>
          </w:rPr>
          <w:t>21</w:t>
        </w:r>
        <w:r>
          <w:rPr>
            <w:noProof/>
            <w:webHidden/>
          </w:rPr>
          <w:tab/>
        </w:r>
        <w:r>
          <w:rPr>
            <w:noProof/>
            <w:webHidden/>
          </w:rPr>
          <w:fldChar w:fldCharType="begin"/>
        </w:r>
        <w:r>
          <w:rPr>
            <w:noProof/>
            <w:webHidden/>
          </w:rPr>
          <w:instrText xml:space="preserve"> PAGEREF _Toc117550295 \h </w:instrText>
        </w:r>
        <w:r>
          <w:rPr>
            <w:noProof/>
            <w:webHidden/>
          </w:rPr>
        </w:r>
        <w:r>
          <w:rPr>
            <w:noProof/>
            <w:webHidden/>
          </w:rPr>
          <w:fldChar w:fldCharType="separate"/>
        </w:r>
        <w:r>
          <w:rPr>
            <w:noProof/>
            <w:webHidden/>
          </w:rPr>
          <w:t>128</w:t>
        </w:r>
        <w:r>
          <w:rPr>
            <w:noProof/>
            <w:webHidden/>
          </w:rPr>
          <w:fldChar w:fldCharType="end"/>
        </w:r>
      </w:hyperlink>
    </w:p>
    <w:p>
      <w:pPr>
        <w:pStyle w:val="TableofFigures"/>
        <w:tabs>
          <w:tab w:val="left" w:pos="142"/>
          <w:tab w:val="left" w:pos="284"/>
          <w:tab w:val="left" w:pos="426"/>
          <w:tab w:val="left" w:pos="567"/>
          <w:tab w:val="left" w:pos="851"/>
          <w:tab w:val="left" w:pos="993"/>
          <w:tab w:val="left" w:pos="1134"/>
          <w:tab w:val="left" w:pos="1276"/>
          <w:tab w:val="left" w:pos="1320"/>
          <w:tab w:val="left" w:pos="1418"/>
          <w:tab w:val="left" w:pos="1560"/>
          <w:tab w:val="right" w:leader="dot" w:pos="6237"/>
          <w:tab w:val="right" w:leader="dot" w:pos="6379"/>
        </w:tabs>
        <w:spacing w:line="360" w:lineRule="auto"/>
        <w:ind w:left="1418" w:right="283" w:hanging="1134"/>
        <w:jc w:val="both"/>
        <w:rPr>
          <w:rFonts w:eastAsiaTheme="minorEastAsia"/>
          <w:noProof/>
          <w:lang w:val="en-ID" w:eastAsia="en-ID"/>
        </w:rPr>
      </w:pPr>
      <w:hyperlink w:anchor="_Toc117550296" w:history="1">
        <w:r>
          <w:rPr>
            <w:rStyle w:val="Hyperlink"/>
            <w:b/>
            <w:bCs/>
            <w:noProof/>
          </w:rPr>
          <w:t>Tabel 6. 5</w:t>
        </w:r>
        <w:r>
          <w:rPr>
            <w:rFonts w:eastAsiaTheme="minorEastAsia"/>
            <w:noProof/>
            <w:lang w:val="en-ID" w:eastAsia="en-ID"/>
          </w:rPr>
          <w:tab/>
        </w:r>
        <w:r>
          <w:rPr>
            <w:rStyle w:val="Hyperlink"/>
            <w:b/>
            <w:bCs/>
            <w:noProof/>
          </w:rPr>
          <w:t xml:space="preserve"> Jumlah </w:t>
        </w:r>
        <w:r>
          <w:rPr>
            <w:rStyle w:val="Hyperlink"/>
            <w:b/>
            <w:bCs/>
            <w:noProof/>
            <w:lang w:val="en-US"/>
          </w:rPr>
          <w:t>Pegawai Negeri Sipil yang Menduduki Jabatan</w:t>
        </w:r>
        <w:r>
          <w:rPr>
            <w:rStyle w:val="Hyperlink"/>
            <w:b/>
            <w:bCs/>
            <w:noProof/>
          </w:rPr>
          <w:t xml:space="preserve"> Menurut Kabupaten/Kota</w:t>
        </w:r>
        <w:r>
          <w:rPr>
            <w:rStyle w:val="Hyperlink"/>
            <w:b/>
            <w:bCs/>
            <w:noProof/>
            <w:lang w:val="en-US"/>
          </w:rPr>
          <w:t xml:space="preserve"> di Provinsi Kalimantan Tengah</w:t>
        </w:r>
        <w:r>
          <w:rPr>
            <w:rStyle w:val="Hyperlink"/>
            <w:b/>
            <w:bCs/>
            <w:noProof/>
          </w:rPr>
          <w:t xml:space="preserve"> dan Jenis Kelamin, </w:t>
        </w:r>
        <w:r>
          <w:rPr>
            <w:rStyle w:val="Hyperlink"/>
            <w:b/>
            <w:bCs/>
            <w:noProof/>
            <w:lang w:val="en-US"/>
          </w:rPr>
          <w:t>Desember 2021</w:t>
        </w:r>
        <w:r>
          <w:rPr>
            <w:noProof/>
            <w:webHidden/>
          </w:rPr>
          <w:tab/>
        </w:r>
        <w:r>
          <w:rPr>
            <w:noProof/>
            <w:webHidden/>
          </w:rPr>
          <w:fldChar w:fldCharType="begin"/>
        </w:r>
        <w:r>
          <w:rPr>
            <w:noProof/>
            <w:webHidden/>
          </w:rPr>
          <w:instrText xml:space="preserve"> PAGEREF _Toc117550296 \h </w:instrText>
        </w:r>
        <w:r>
          <w:rPr>
            <w:noProof/>
            <w:webHidden/>
          </w:rPr>
        </w:r>
        <w:r>
          <w:rPr>
            <w:noProof/>
            <w:webHidden/>
          </w:rPr>
          <w:fldChar w:fldCharType="separate"/>
        </w:r>
        <w:r>
          <w:rPr>
            <w:b/>
            <w:bCs/>
            <w:noProof/>
            <w:webHidden/>
            <w:lang w:val="en-US"/>
          </w:rPr>
          <w:t>Error! Bookmark not defined.</w:t>
        </w:r>
        <w:r>
          <w:rPr>
            <w:noProof/>
            <w:webHidden/>
          </w:rPr>
          <w:fldChar w:fldCharType="end"/>
        </w:r>
      </w:hyperlink>
    </w:p>
    <w:p>
      <w:pPr>
        <w:tabs>
          <w:tab w:val="right" w:leader="dot" w:pos="6231"/>
        </w:tabs>
        <w:spacing w:after="0" w:line="360" w:lineRule="auto"/>
        <w:ind w:left="1276" w:right="289" w:hanging="992"/>
        <w:jc w:val="both"/>
        <w:rPr>
          <w:noProof/>
        </w:rPr>
      </w:pPr>
      <w:r>
        <w:rPr>
          <w:rFonts w:cstheme="minorHAnsi"/>
        </w:rPr>
        <w:fldChar w:fldCharType="end"/>
      </w:r>
      <w:r>
        <w:rPr>
          <w:rFonts w:cstheme="minorHAnsi"/>
        </w:rPr>
        <w:fldChar w:fldCharType="begin"/>
      </w:r>
      <w:r>
        <w:rPr>
          <w:rFonts w:cstheme="minorHAnsi"/>
        </w:rPr>
        <w:instrText xml:space="preserve"> TOC \h \z \c "Tabel 7." </w:instrText>
      </w:r>
      <w:r>
        <w:rPr>
          <w:rFonts w:cstheme="minorHAnsi"/>
        </w:rPr>
        <w:fldChar w:fldCharType="separate"/>
      </w:r>
      <w:hyperlink w:anchor="_Toc117519547" w:history="1">
        <w:r>
          <w:rPr>
            <w:rStyle w:val="Hyperlink"/>
            <w:b/>
            <w:bCs/>
            <w:noProof/>
          </w:rPr>
          <w:t>Tabel 7. 1</w:t>
        </w:r>
        <w:r>
          <w:rPr>
            <w:rFonts w:eastAsiaTheme="minorEastAsia"/>
            <w:noProof/>
            <w:lang w:val="en-ID" w:eastAsia="en-ID"/>
          </w:rPr>
          <w:tab/>
        </w:r>
        <w:r>
          <w:rPr>
            <w:rStyle w:val="Hyperlink"/>
            <w:b/>
            <w:bCs/>
            <w:noProof/>
          </w:rPr>
          <w:t xml:space="preserve"> Jumlah Penduduk Usia Kerja, Angkatan Kerja dan Bukan Angkatan Kerja Menurut Jenis Kelamin dan Kabupaten/Kota, 2019 – 2021</w:t>
        </w:r>
        <w:r>
          <w:rPr>
            <w:noProof/>
            <w:webHidden/>
          </w:rPr>
          <w:tab/>
        </w:r>
        <w:r>
          <w:rPr>
            <w:noProof/>
            <w:webHidden/>
          </w:rPr>
          <w:fldChar w:fldCharType="begin"/>
        </w:r>
        <w:r>
          <w:rPr>
            <w:noProof/>
            <w:webHidden/>
          </w:rPr>
          <w:instrText xml:space="preserve"> PAGEREF _Toc117519547 \h </w:instrText>
        </w:r>
        <w:r>
          <w:rPr>
            <w:noProof/>
            <w:webHidden/>
          </w:rPr>
        </w:r>
        <w:r>
          <w:rPr>
            <w:noProof/>
            <w:webHidden/>
          </w:rPr>
          <w:fldChar w:fldCharType="separate"/>
        </w:r>
        <w:r>
          <w:rPr>
            <w:noProof/>
            <w:webHidden/>
          </w:rPr>
          <w:t>135</w:t>
        </w:r>
        <w:r>
          <w:rPr>
            <w:noProof/>
            <w:webHidden/>
          </w:rPr>
          <w:fldChar w:fldCharType="end"/>
        </w:r>
      </w:hyperlink>
    </w:p>
    <w:p>
      <w:pPr>
        <w:pStyle w:val="TableofFigures"/>
        <w:tabs>
          <w:tab w:val="left" w:pos="1560"/>
          <w:tab w:val="right" w:leader="dot" w:pos="6237"/>
        </w:tabs>
        <w:spacing w:line="360" w:lineRule="auto"/>
        <w:ind w:left="1276" w:right="283" w:hanging="992"/>
        <w:jc w:val="both"/>
        <w:rPr>
          <w:rFonts w:eastAsiaTheme="minorEastAsia"/>
          <w:noProof/>
          <w:lang w:val="en-ID" w:eastAsia="en-ID"/>
        </w:rPr>
      </w:pPr>
      <w:hyperlink w:anchor="_Toc117519548" w:history="1">
        <w:r>
          <w:rPr>
            <w:rStyle w:val="Hyperlink"/>
            <w:b/>
            <w:bCs/>
            <w:noProof/>
          </w:rPr>
          <w:t>Tabel 7. 2</w:t>
        </w:r>
        <w:r>
          <w:rPr>
            <w:rFonts w:eastAsiaTheme="minorEastAsia"/>
            <w:noProof/>
            <w:lang w:val="en-ID" w:eastAsia="en-ID"/>
          </w:rPr>
          <w:tab/>
        </w:r>
        <w:r>
          <w:rPr>
            <w:rStyle w:val="Hyperlink"/>
            <w:b/>
            <w:bCs/>
            <w:noProof/>
          </w:rPr>
          <w:t>Tingkat Partisipasi Angkatan Kerja (TPAK) Menurut Jenis Kelamin dan Kabupaten/Kota, 2020-2021</w:t>
        </w:r>
        <w:r>
          <w:rPr>
            <w:noProof/>
            <w:webHidden/>
          </w:rPr>
          <w:tab/>
        </w:r>
        <w:r>
          <w:rPr>
            <w:noProof/>
            <w:webHidden/>
          </w:rPr>
          <w:fldChar w:fldCharType="begin"/>
        </w:r>
        <w:r>
          <w:rPr>
            <w:noProof/>
            <w:webHidden/>
          </w:rPr>
          <w:instrText xml:space="preserve"> PAGEREF _Toc117519548 \h </w:instrText>
        </w:r>
        <w:r>
          <w:rPr>
            <w:noProof/>
            <w:webHidden/>
          </w:rPr>
        </w:r>
        <w:r>
          <w:rPr>
            <w:noProof/>
            <w:webHidden/>
          </w:rPr>
          <w:fldChar w:fldCharType="separate"/>
        </w:r>
        <w:r>
          <w:rPr>
            <w:noProof/>
            <w:webHidden/>
          </w:rPr>
          <w:t>139</w:t>
        </w:r>
        <w:r>
          <w:rPr>
            <w:noProof/>
            <w:webHidden/>
          </w:rPr>
          <w:fldChar w:fldCharType="end"/>
        </w:r>
      </w:hyperlink>
    </w:p>
    <w:p>
      <w:pPr>
        <w:pStyle w:val="TableofFigures"/>
        <w:tabs>
          <w:tab w:val="left" w:pos="1560"/>
          <w:tab w:val="right" w:leader="dot" w:pos="6237"/>
        </w:tabs>
        <w:spacing w:line="360" w:lineRule="auto"/>
        <w:ind w:left="1276" w:right="283" w:hanging="992"/>
        <w:jc w:val="both"/>
        <w:rPr>
          <w:rFonts w:eastAsiaTheme="minorEastAsia"/>
          <w:noProof/>
          <w:lang w:val="en-ID" w:eastAsia="en-ID"/>
        </w:rPr>
      </w:pPr>
      <w:hyperlink w:anchor="_Toc117519549" w:history="1">
        <w:r>
          <w:rPr>
            <w:rStyle w:val="Hyperlink"/>
            <w:b/>
            <w:bCs/>
            <w:noProof/>
          </w:rPr>
          <w:t>Tabel 7. 3</w:t>
        </w:r>
        <w:r>
          <w:rPr>
            <w:rFonts w:eastAsiaTheme="minorEastAsia"/>
            <w:noProof/>
            <w:lang w:val="en-ID" w:eastAsia="en-ID"/>
          </w:rPr>
          <w:tab/>
        </w:r>
        <w:r>
          <w:rPr>
            <w:rStyle w:val="Hyperlink"/>
            <w:b/>
            <w:bCs/>
            <w:noProof/>
          </w:rPr>
          <w:t>Jumlah Pekerja Formal Menurut Jenis Kelamin dan Kabupaten/ Kota, 2020-2021</w:t>
        </w:r>
        <w:r>
          <w:rPr>
            <w:noProof/>
            <w:webHidden/>
          </w:rPr>
          <w:tab/>
        </w:r>
        <w:r>
          <w:rPr>
            <w:noProof/>
            <w:webHidden/>
          </w:rPr>
          <w:fldChar w:fldCharType="begin"/>
        </w:r>
        <w:r>
          <w:rPr>
            <w:noProof/>
            <w:webHidden/>
          </w:rPr>
          <w:instrText xml:space="preserve"> PAGEREF _Toc117519549 \h </w:instrText>
        </w:r>
        <w:r>
          <w:rPr>
            <w:noProof/>
            <w:webHidden/>
          </w:rPr>
        </w:r>
        <w:r>
          <w:rPr>
            <w:noProof/>
            <w:webHidden/>
          </w:rPr>
          <w:fldChar w:fldCharType="separate"/>
        </w:r>
        <w:r>
          <w:rPr>
            <w:noProof/>
            <w:webHidden/>
          </w:rPr>
          <w:t>143</w:t>
        </w:r>
        <w:r>
          <w:rPr>
            <w:noProof/>
            <w:webHidden/>
          </w:rPr>
          <w:fldChar w:fldCharType="end"/>
        </w:r>
      </w:hyperlink>
    </w:p>
    <w:p>
      <w:pPr>
        <w:pStyle w:val="TableofFigures"/>
        <w:tabs>
          <w:tab w:val="left" w:pos="1560"/>
          <w:tab w:val="left" w:pos="1701"/>
          <w:tab w:val="right" w:leader="dot" w:pos="6237"/>
        </w:tabs>
        <w:spacing w:line="360" w:lineRule="auto"/>
        <w:ind w:left="1276" w:right="283" w:hanging="992"/>
        <w:jc w:val="both"/>
        <w:rPr>
          <w:rFonts w:eastAsiaTheme="minorEastAsia"/>
          <w:noProof/>
          <w:lang w:val="en-ID" w:eastAsia="en-ID"/>
        </w:rPr>
      </w:pPr>
      <w:hyperlink w:anchor="_Toc117519550" w:history="1">
        <w:r>
          <w:rPr>
            <w:rStyle w:val="Hyperlink"/>
            <w:b/>
            <w:bCs/>
            <w:noProof/>
          </w:rPr>
          <w:t>Tabel 7. 4</w:t>
        </w:r>
        <w:r>
          <w:rPr>
            <w:rFonts w:eastAsiaTheme="minorEastAsia"/>
            <w:noProof/>
            <w:lang w:val="en-ID" w:eastAsia="en-ID"/>
          </w:rPr>
          <w:tab/>
        </w:r>
        <w:r>
          <w:rPr>
            <w:rStyle w:val="Hyperlink"/>
            <w:b/>
            <w:bCs/>
            <w:noProof/>
          </w:rPr>
          <w:t>Jumlah Pekerja Informal Menurut Jenis Kelamin dan Kabupaten/ Kota, 2020-2021</w:t>
        </w:r>
        <w:r>
          <w:rPr>
            <w:noProof/>
            <w:webHidden/>
          </w:rPr>
          <w:tab/>
        </w:r>
        <w:r>
          <w:rPr>
            <w:noProof/>
            <w:webHidden/>
          </w:rPr>
          <w:fldChar w:fldCharType="begin"/>
        </w:r>
        <w:r>
          <w:rPr>
            <w:noProof/>
            <w:webHidden/>
          </w:rPr>
          <w:instrText xml:space="preserve"> PAGEREF _Toc117519550 \h </w:instrText>
        </w:r>
        <w:r>
          <w:rPr>
            <w:noProof/>
            <w:webHidden/>
          </w:rPr>
        </w:r>
        <w:r>
          <w:rPr>
            <w:noProof/>
            <w:webHidden/>
          </w:rPr>
          <w:fldChar w:fldCharType="separate"/>
        </w:r>
        <w:r>
          <w:rPr>
            <w:noProof/>
            <w:webHidden/>
          </w:rPr>
          <w:t>145</w:t>
        </w:r>
        <w:r>
          <w:rPr>
            <w:noProof/>
            <w:webHidden/>
          </w:rPr>
          <w:fldChar w:fldCharType="end"/>
        </w:r>
      </w:hyperlink>
    </w:p>
    <w:p>
      <w:pPr>
        <w:pStyle w:val="TableofFigures"/>
        <w:tabs>
          <w:tab w:val="left" w:pos="1560"/>
          <w:tab w:val="right" w:leader="dot" w:pos="6237"/>
        </w:tabs>
        <w:spacing w:line="360" w:lineRule="auto"/>
        <w:ind w:left="1276" w:right="283" w:hanging="992"/>
        <w:jc w:val="both"/>
        <w:rPr>
          <w:rFonts w:eastAsiaTheme="minorEastAsia"/>
          <w:noProof/>
          <w:lang w:val="en-ID" w:eastAsia="en-ID"/>
        </w:rPr>
      </w:pPr>
      <w:hyperlink w:anchor="_Toc117519551" w:history="1">
        <w:r>
          <w:rPr>
            <w:rStyle w:val="Hyperlink"/>
            <w:b/>
            <w:bCs/>
            <w:noProof/>
          </w:rPr>
          <w:t>Tabel 7. 5</w:t>
        </w:r>
        <w:r>
          <w:rPr>
            <w:rFonts w:eastAsiaTheme="minorEastAsia"/>
            <w:noProof/>
            <w:lang w:val="en-ID" w:eastAsia="en-ID"/>
          </w:rPr>
          <w:tab/>
        </w:r>
        <w:r>
          <w:rPr>
            <w:rStyle w:val="Hyperlink"/>
            <w:b/>
            <w:bCs/>
            <w:noProof/>
          </w:rPr>
          <w:t>Jumlah Pekerja Tak Dibayar Menurut Jenis Kelamin dan</w:t>
        </w:r>
        <w:r>
          <w:rPr>
            <w:rStyle w:val="Hyperlink"/>
            <w:b/>
            <w:bCs/>
            <w:noProof/>
            <w:lang w:val="en-US"/>
          </w:rPr>
          <w:t xml:space="preserve"> </w:t>
        </w:r>
        <w:r>
          <w:rPr>
            <w:rStyle w:val="Hyperlink"/>
            <w:b/>
            <w:bCs/>
            <w:noProof/>
          </w:rPr>
          <w:t>Kabupaten/Kota, 2020-2021</w:t>
        </w:r>
        <w:r>
          <w:rPr>
            <w:noProof/>
            <w:webHidden/>
          </w:rPr>
          <w:tab/>
        </w:r>
        <w:r>
          <w:rPr>
            <w:noProof/>
            <w:webHidden/>
          </w:rPr>
          <w:fldChar w:fldCharType="begin"/>
        </w:r>
        <w:r>
          <w:rPr>
            <w:noProof/>
            <w:webHidden/>
          </w:rPr>
          <w:instrText xml:space="preserve"> PAGEREF _Toc117519551 \h </w:instrText>
        </w:r>
        <w:r>
          <w:rPr>
            <w:noProof/>
            <w:webHidden/>
          </w:rPr>
        </w:r>
        <w:r>
          <w:rPr>
            <w:noProof/>
            <w:webHidden/>
          </w:rPr>
          <w:fldChar w:fldCharType="separate"/>
        </w:r>
        <w:r>
          <w:rPr>
            <w:noProof/>
            <w:webHidden/>
          </w:rPr>
          <w:t>149</w:t>
        </w:r>
        <w:r>
          <w:rPr>
            <w:noProof/>
            <w:webHidden/>
          </w:rPr>
          <w:fldChar w:fldCharType="end"/>
        </w:r>
      </w:hyperlink>
    </w:p>
    <w:p>
      <w:pPr>
        <w:pStyle w:val="TableofFigures"/>
        <w:tabs>
          <w:tab w:val="left" w:pos="1418"/>
          <w:tab w:val="right" w:leader="dot" w:pos="6237"/>
        </w:tabs>
        <w:spacing w:line="360" w:lineRule="auto"/>
        <w:ind w:left="1276" w:right="283" w:hanging="992"/>
        <w:jc w:val="both"/>
        <w:rPr>
          <w:rFonts w:eastAsiaTheme="minorEastAsia"/>
          <w:noProof/>
          <w:lang w:val="en-ID" w:eastAsia="en-ID"/>
        </w:rPr>
      </w:pPr>
      <w:hyperlink w:anchor="_Toc117519552" w:history="1">
        <w:r>
          <w:rPr>
            <w:rStyle w:val="Hyperlink"/>
            <w:rFonts w:cstheme="minorHAnsi"/>
            <w:b/>
            <w:bCs/>
            <w:noProof/>
          </w:rPr>
          <w:t>Tabel 7. 6</w:t>
        </w:r>
        <w:r>
          <w:rPr>
            <w:rFonts w:eastAsiaTheme="minorEastAsia"/>
            <w:noProof/>
            <w:lang w:val="en-ID" w:eastAsia="en-ID"/>
          </w:rPr>
          <w:tab/>
        </w:r>
        <w:r>
          <w:rPr>
            <w:rStyle w:val="Hyperlink"/>
            <w:rFonts w:cstheme="minorHAnsi"/>
            <w:b/>
            <w:bCs/>
            <w:noProof/>
          </w:rPr>
          <w:t>Jumlah Pekerja Profesional dan Manajerial Menurut Jenis Kelamin dan Kabupaten/Kota, 2020-2021</w:t>
        </w:r>
        <w:r>
          <w:rPr>
            <w:noProof/>
            <w:webHidden/>
          </w:rPr>
          <w:tab/>
        </w:r>
        <w:r>
          <w:rPr>
            <w:noProof/>
            <w:webHidden/>
          </w:rPr>
          <w:fldChar w:fldCharType="begin"/>
        </w:r>
        <w:r>
          <w:rPr>
            <w:noProof/>
            <w:webHidden/>
          </w:rPr>
          <w:instrText xml:space="preserve"> PAGEREF _Toc117519552 \h </w:instrText>
        </w:r>
        <w:r>
          <w:rPr>
            <w:noProof/>
            <w:webHidden/>
          </w:rPr>
        </w:r>
        <w:r>
          <w:rPr>
            <w:noProof/>
            <w:webHidden/>
          </w:rPr>
          <w:fldChar w:fldCharType="separate"/>
        </w:r>
        <w:r>
          <w:rPr>
            <w:noProof/>
            <w:webHidden/>
          </w:rPr>
          <w:t>151</w:t>
        </w:r>
        <w:r>
          <w:rPr>
            <w:noProof/>
            <w:webHidden/>
          </w:rPr>
          <w:fldChar w:fldCharType="end"/>
        </w:r>
      </w:hyperlink>
    </w:p>
    <w:p>
      <w:pPr>
        <w:pStyle w:val="TableofFigures"/>
        <w:tabs>
          <w:tab w:val="left" w:pos="1418"/>
          <w:tab w:val="right" w:leader="dot" w:pos="6237"/>
        </w:tabs>
        <w:spacing w:line="360" w:lineRule="auto"/>
        <w:ind w:left="1276" w:right="283" w:hanging="992"/>
        <w:jc w:val="both"/>
        <w:rPr>
          <w:rFonts w:eastAsiaTheme="minorEastAsia"/>
          <w:noProof/>
          <w:lang w:val="en-ID" w:eastAsia="en-ID"/>
        </w:rPr>
      </w:pPr>
      <w:hyperlink w:anchor="_Toc117519553" w:history="1">
        <w:r>
          <w:rPr>
            <w:rStyle w:val="Hyperlink"/>
            <w:b/>
            <w:bCs/>
            <w:noProof/>
          </w:rPr>
          <w:t>Tabel 7. 7</w:t>
        </w:r>
        <w:r>
          <w:rPr>
            <w:rFonts w:eastAsiaTheme="minorEastAsia"/>
            <w:noProof/>
            <w:lang w:val="en-ID" w:eastAsia="en-ID"/>
          </w:rPr>
          <w:tab/>
        </w:r>
        <w:r>
          <w:rPr>
            <w:rStyle w:val="Hyperlink"/>
            <w:b/>
            <w:bCs/>
            <w:noProof/>
          </w:rPr>
          <w:t>Tingkat Pengangguran Terbuka (TPT) menurut Kelompok Umur, 2021</w:t>
        </w:r>
        <w:r>
          <w:rPr>
            <w:noProof/>
            <w:webHidden/>
          </w:rPr>
          <w:tab/>
        </w:r>
        <w:r>
          <w:rPr>
            <w:noProof/>
            <w:webHidden/>
          </w:rPr>
          <w:fldChar w:fldCharType="begin"/>
        </w:r>
        <w:r>
          <w:rPr>
            <w:noProof/>
            <w:webHidden/>
          </w:rPr>
          <w:instrText xml:space="preserve"> PAGEREF _Toc117519553 \h </w:instrText>
        </w:r>
        <w:r>
          <w:rPr>
            <w:noProof/>
            <w:webHidden/>
          </w:rPr>
        </w:r>
        <w:r>
          <w:rPr>
            <w:noProof/>
            <w:webHidden/>
          </w:rPr>
          <w:fldChar w:fldCharType="separate"/>
        </w:r>
        <w:r>
          <w:rPr>
            <w:noProof/>
            <w:webHidden/>
          </w:rPr>
          <w:t>154</w:t>
        </w:r>
        <w:r>
          <w:rPr>
            <w:noProof/>
            <w:webHidden/>
          </w:rPr>
          <w:fldChar w:fldCharType="end"/>
        </w:r>
      </w:hyperlink>
    </w:p>
    <w:p>
      <w:pPr>
        <w:pStyle w:val="TableofFigures"/>
        <w:tabs>
          <w:tab w:val="left" w:pos="1418"/>
          <w:tab w:val="right" w:leader="dot" w:pos="6237"/>
        </w:tabs>
        <w:spacing w:line="360" w:lineRule="auto"/>
        <w:ind w:left="1276" w:right="283" w:hanging="992"/>
        <w:jc w:val="both"/>
        <w:rPr>
          <w:rFonts w:eastAsiaTheme="minorEastAsia"/>
          <w:noProof/>
          <w:lang w:val="en-ID" w:eastAsia="en-ID"/>
        </w:rPr>
      </w:pPr>
      <w:hyperlink w:anchor="_Toc117519554" w:history="1">
        <w:r>
          <w:rPr>
            <w:rStyle w:val="Hyperlink"/>
            <w:b/>
            <w:bCs/>
            <w:noProof/>
          </w:rPr>
          <w:t>Tabel 7. 8</w:t>
        </w:r>
        <w:r>
          <w:rPr>
            <w:rFonts w:eastAsiaTheme="minorEastAsia"/>
            <w:noProof/>
            <w:lang w:val="en-ID" w:eastAsia="en-ID"/>
          </w:rPr>
          <w:tab/>
        </w:r>
        <w:r>
          <w:rPr>
            <w:rStyle w:val="Hyperlink"/>
            <w:b/>
            <w:bCs/>
            <w:noProof/>
          </w:rPr>
          <w:t>Tingkat Pengangguran Terbuka (TPT) Menurut Jenis Kelamin dan Kabupaten/Kota, 2020-2021</w:t>
        </w:r>
        <w:r>
          <w:rPr>
            <w:noProof/>
            <w:webHidden/>
          </w:rPr>
          <w:tab/>
        </w:r>
        <w:r>
          <w:rPr>
            <w:noProof/>
            <w:webHidden/>
          </w:rPr>
          <w:fldChar w:fldCharType="begin"/>
        </w:r>
        <w:r>
          <w:rPr>
            <w:noProof/>
            <w:webHidden/>
          </w:rPr>
          <w:instrText xml:space="preserve"> PAGEREF _Toc117519554 \h </w:instrText>
        </w:r>
        <w:r>
          <w:rPr>
            <w:noProof/>
            <w:webHidden/>
          </w:rPr>
        </w:r>
        <w:r>
          <w:rPr>
            <w:noProof/>
            <w:webHidden/>
          </w:rPr>
          <w:fldChar w:fldCharType="separate"/>
        </w:r>
        <w:r>
          <w:rPr>
            <w:noProof/>
            <w:webHidden/>
          </w:rPr>
          <w:t>157</w:t>
        </w:r>
        <w:r>
          <w:rPr>
            <w:noProof/>
            <w:webHidden/>
          </w:rPr>
          <w:fldChar w:fldCharType="end"/>
        </w:r>
      </w:hyperlink>
    </w:p>
    <w:p>
      <w:pPr>
        <w:tabs>
          <w:tab w:val="right" w:leader="dot" w:pos="6231"/>
        </w:tabs>
        <w:spacing w:after="0" w:line="360" w:lineRule="auto"/>
        <w:ind w:left="1276" w:right="289" w:hanging="992"/>
        <w:jc w:val="both"/>
        <w:rPr>
          <w:rFonts w:cstheme="minorHAnsi"/>
        </w:rPr>
      </w:pPr>
      <w:r>
        <w:rPr>
          <w:rFonts w:cstheme="minorHAnsi"/>
        </w:rPr>
        <w:lastRenderedPageBreak/>
        <w:fldChar w:fldCharType="end"/>
      </w:r>
      <w:r>
        <w:rPr>
          <w:b/>
          <w:bCs/>
          <w:lang w:val="en-US"/>
        </w:rPr>
        <w:fldChar w:fldCharType="begin"/>
      </w:r>
      <w:r>
        <w:rPr>
          <w:b/>
          <w:bCs/>
          <w:lang w:val="en-US"/>
        </w:rPr>
        <w:instrText xml:space="preserve"> TOC \h \z \c "Tabel 8." </w:instrText>
      </w:r>
      <w:r>
        <w:rPr>
          <w:b/>
          <w:bCs/>
          <w:lang w:val="en-US"/>
        </w:rPr>
        <w:fldChar w:fldCharType="separate"/>
      </w:r>
      <w:hyperlink w:anchor="_Toc117552871" w:history="1">
        <w:r>
          <w:rPr>
            <w:rStyle w:val="Hyperlink"/>
            <w:b/>
            <w:bCs/>
            <w:noProof/>
          </w:rPr>
          <w:t>Tabel 8. 1</w:t>
        </w:r>
        <w:r>
          <w:rPr>
            <w:rFonts w:eastAsiaTheme="minorEastAsia"/>
            <w:noProof/>
            <w:lang w:val="en-ID" w:eastAsia="en-ID"/>
          </w:rPr>
          <w:tab/>
        </w:r>
        <w:r>
          <w:rPr>
            <w:rStyle w:val="Hyperlink"/>
            <w:b/>
            <w:bCs/>
            <w:noProof/>
            <w:lang w:val="en-US"/>
          </w:rPr>
          <w:t>Jum</w:t>
        </w:r>
        <w:r>
          <w:rPr>
            <w:rStyle w:val="Hyperlink"/>
            <w:rFonts w:cs="Calibri,Bold"/>
            <w:b/>
            <w:bCs/>
            <w:noProof/>
          </w:rPr>
          <w:t>lah Presentase Pegawai Negeri Sipil Daerah Menurut Jabatan dan Jenis Kelamin di Lingkungan Pemerintah Provinsi Kalimantan Tengah,</w:t>
        </w:r>
        <w:r>
          <w:rPr>
            <w:rStyle w:val="Hyperlink"/>
            <w:rFonts w:cstheme="minorHAnsi"/>
            <w:b/>
            <w:bCs/>
            <w:noProof/>
          </w:rPr>
          <w:t xml:space="preserve"> Desember 2021</w:t>
        </w:r>
        <w:r>
          <w:rPr>
            <w:noProof/>
            <w:webHidden/>
          </w:rPr>
          <w:tab/>
        </w:r>
        <w:r>
          <w:rPr>
            <w:noProof/>
            <w:webHidden/>
          </w:rPr>
          <w:fldChar w:fldCharType="begin"/>
        </w:r>
        <w:r>
          <w:rPr>
            <w:noProof/>
            <w:webHidden/>
          </w:rPr>
          <w:instrText xml:space="preserve"> PAGEREF _Toc117552871 \h </w:instrText>
        </w:r>
        <w:r>
          <w:rPr>
            <w:noProof/>
            <w:webHidden/>
          </w:rPr>
        </w:r>
        <w:r>
          <w:rPr>
            <w:noProof/>
            <w:webHidden/>
          </w:rPr>
          <w:fldChar w:fldCharType="separate"/>
        </w:r>
        <w:r>
          <w:rPr>
            <w:noProof/>
            <w:webHidden/>
          </w:rPr>
          <w:t>174</w:t>
        </w:r>
        <w:r>
          <w:rPr>
            <w:noProof/>
            <w:webHidden/>
          </w:rPr>
          <w:fldChar w:fldCharType="end"/>
        </w:r>
      </w:hyperlink>
    </w:p>
    <w:p>
      <w:pPr>
        <w:spacing w:line="360" w:lineRule="auto"/>
        <w:ind w:left="1276" w:hanging="992"/>
        <w:jc w:val="both"/>
        <w:rPr>
          <w:b/>
          <w:bCs/>
          <w:lang w:val="en-US"/>
        </w:rPr>
      </w:pPr>
      <w:r>
        <w:rPr>
          <w:b/>
          <w:bCs/>
          <w:lang w:val="en-US"/>
        </w:rPr>
        <w:fldChar w:fldCharType="end"/>
      </w:r>
    </w:p>
    <w:p>
      <w:pPr>
        <w:tabs>
          <w:tab w:val="right" w:leader="dot" w:pos="6379"/>
        </w:tabs>
        <w:spacing w:line="360" w:lineRule="auto"/>
        <w:ind w:left="1418" w:hanging="1276"/>
        <w:jc w:val="both"/>
        <w:rPr>
          <w:b/>
          <w:bCs/>
          <w:lang w:val="en-US"/>
        </w:rPr>
      </w:pPr>
    </w:p>
    <w:p>
      <w:pPr>
        <w:tabs>
          <w:tab w:val="right" w:leader="dot" w:pos="6379"/>
        </w:tabs>
        <w:spacing w:line="360" w:lineRule="auto"/>
        <w:ind w:left="1418" w:hanging="1276"/>
        <w:jc w:val="both"/>
        <w:rPr>
          <w:b/>
          <w:bCs/>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r>
        <w:rPr>
          <w:noProof/>
          <w:lang w:val="en-ID" w:eastAsia="en-ID"/>
        </w:rPr>
        <mc:AlternateContent>
          <mc:Choice Requires="wps">
            <w:drawing>
              <wp:anchor distT="0" distB="0" distL="114300" distR="114300" simplePos="0" relativeHeight="251777536" behindDoc="0" locked="0" layoutInCell="1" allowOverlap="1">
                <wp:simplePos x="0" y="0"/>
                <wp:positionH relativeFrom="page">
                  <wp:posOffset>9525</wp:posOffset>
                </wp:positionH>
                <wp:positionV relativeFrom="paragraph">
                  <wp:posOffset>-807720</wp:posOffset>
                </wp:positionV>
                <wp:extent cx="5319716" cy="866899"/>
                <wp:effectExtent l="0" t="0" r="14605" b="28575"/>
                <wp:wrapNone/>
                <wp:docPr id="127" name="Rectangle 127"/>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A77AB3" id="Rectangle 127" o:spid="_x0000_s1026" style="position:absolute;margin-left:.75pt;margin-top:-63.6pt;width:418.9pt;height:68.25pt;z-index:251777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" fillcolor="white [3212]" strokecolor="white [3212]" strokeweight="2pt">
                <w10:wrap anchorx="page"/>
              </v:rect>
            </w:pict>
          </mc:Fallback>
        </mc:AlternateContent>
      </w: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tabs>
          <w:tab w:val="right" w:leader="dot" w:pos="6379"/>
        </w:tabs>
        <w:spacing w:line="360" w:lineRule="auto"/>
        <w:ind w:left="1418" w:hanging="1276"/>
        <w:jc w:val="both"/>
        <w:rPr>
          <w:lang w:val="en-US"/>
        </w:rPr>
      </w:pPr>
    </w:p>
    <w:p>
      <w:pPr>
        <w:spacing w:after="0"/>
        <w:jc w:val="both"/>
        <w:rPr>
          <w:rFonts w:cstheme="minorHAnsi"/>
          <w:b/>
          <w:noProof/>
          <w:spacing w:val="-6"/>
          <w:sz w:val="28"/>
          <w:szCs w:val="28"/>
          <w:lang w:val="en-US" w:eastAsia="id-ID"/>
        </w:rPr>
      </w:pPr>
    </w:p>
    <w:p>
      <w:pPr>
        <w:pStyle w:val="TableofFigures"/>
        <w:tabs>
          <w:tab w:val="right" w:leader="dot" w:pos="7470"/>
        </w:tabs>
        <w:ind w:left="900" w:right="379" w:hanging="900"/>
        <w:jc w:val="both"/>
        <w:rPr>
          <w:rFonts w:eastAsiaTheme="minorEastAsia" w:cstheme="minorHAnsi"/>
          <w:noProof/>
          <w:lang w:val="en-US"/>
        </w:rPr>
      </w:pPr>
      <w:r>
        <w:rPr>
          <w:rFonts w:cstheme="minorHAnsi"/>
          <w:b/>
          <w:noProof/>
          <w:spacing w:val="-6"/>
          <w:sz w:val="28"/>
          <w:szCs w:val="28"/>
          <w:lang w:val="en-US" w:eastAsia="id-ID"/>
        </w:rPr>
        <w:fldChar w:fldCharType="begin"/>
      </w:r>
      <w:r>
        <w:rPr>
          <w:rFonts w:cstheme="minorHAnsi"/>
          <w:b/>
          <w:noProof/>
          <w:spacing w:val="-6"/>
          <w:sz w:val="28"/>
          <w:szCs w:val="28"/>
          <w:lang w:val="en-US" w:eastAsia="id-ID"/>
        </w:rPr>
        <w:instrText xml:space="preserve"> TOC \h \z \c "Tabel " </w:instrText>
      </w:r>
      <w:r>
        <w:rPr>
          <w:rFonts w:cstheme="minorHAnsi"/>
          <w:b/>
          <w:noProof/>
          <w:spacing w:val="-6"/>
          <w:sz w:val="28"/>
          <w:szCs w:val="28"/>
          <w:lang w:val="en-US" w:eastAsia="id-ID"/>
        </w:rPr>
        <w:fldChar w:fldCharType="separate"/>
      </w:r>
    </w:p>
    <w:p>
      <w:pPr>
        <w:pStyle w:val="TableofFigures"/>
        <w:tabs>
          <w:tab w:val="right" w:leader="dot" w:pos="7470"/>
        </w:tabs>
        <w:ind w:left="900" w:right="379" w:hanging="900"/>
        <w:jc w:val="both"/>
        <w:rPr>
          <w:rFonts w:eastAsiaTheme="minorEastAsia" w:cstheme="minorHAnsi"/>
          <w:noProof/>
          <w:lang w:val="en-US"/>
        </w:rPr>
      </w:pPr>
      <w:r>
        <w:rPr>
          <w:noProof/>
          <w:lang w:val="en-ID" w:eastAsia="en-ID"/>
        </w:rPr>
        <mc:AlternateContent>
          <mc:Choice Requires="wps">
            <w:drawing>
              <wp:anchor distT="0" distB="0" distL="114300" distR="114300" simplePos="0" relativeHeight="251808256" behindDoc="0" locked="0" layoutInCell="1" allowOverlap="1">
                <wp:simplePos x="0" y="0"/>
                <wp:positionH relativeFrom="page">
                  <wp:posOffset>5715</wp:posOffset>
                </wp:positionH>
                <wp:positionV relativeFrom="paragraph">
                  <wp:posOffset>473710</wp:posOffset>
                </wp:positionV>
                <wp:extent cx="5319716" cy="866899"/>
                <wp:effectExtent l="0" t="0" r="14605" b="28575"/>
                <wp:wrapNone/>
                <wp:docPr id="68" name="Rectangle 68"/>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28D570" id="Rectangle 68" o:spid="_x0000_s1026" style="position:absolute;margin-left:.45pt;margin-top:37.3pt;width:418.9pt;height:68.25pt;z-index:251808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" fillcolor="white [3212]" strokecolor="white [3212]" strokeweight="2pt">
                <w10:wrap anchorx="page"/>
              </v:rect>
            </w:pict>
          </mc:Fallback>
        </mc:AlternateContent>
      </w:r>
    </w:p>
    <w:p>
      <w:pPr>
        <w:spacing w:after="0"/>
        <w:jc w:val="both"/>
        <w:rPr>
          <w:rFonts w:cstheme="minorHAnsi"/>
          <w:b/>
          <w:noProof/>
          <w:spacing w:val="-6"/>
          <w:sz w:val="28"/>
          <w:szCs w:val="28"/>
          <w:lang w:val="en-US" w:eastAsia="id-ID"/>
        </w:rPr>
      </w:pPr>
      <w:r>
        <w:rPr>
          <w:rFonts w:cstheme="minorHAnsi"/>
          <w:b/>
          <w:noProof/>
          <w:spacing w:val="-6"/>
          <w:sz w:val="28"/>
          <w:szCs w:val="28"/>
          <w:lang w:val="en-US" w:eastAsia="id-ID"/>
        </w:rPr>
        <w:fldChar w:fldCharType="end"/>
      </w:r>
    </w:p>
    <w:p>
      <w:pPr>
        <w:tabs>
          <w:tab w:val="left" w:pos="6158"/>
        </w:tabs>
        <w:spacing w:after="0" w:line="240" w:lineRule="auto"/>
        <w:ind w:firstLine="851"/>
        <w:jc w:val="both"/>
        <w:rPr>
          <w:rFonts w:cstheme="minorHAnsi"/>
        </w:rPr>
      </w:pPr>
    </w:p>
    <w:p>
      <w:pPr>
        <w:tabs>
          <w:tab w:val="left" w:pos="6158"/>
        </w:tabs>
        <w:spacing w:after="0" w:line="240" w:lineRule="auto"/>
        <w:ind w:firstLine="851"/>
        <w:jc w:val="both"/>
        <w:rPr>
          <w:rFonts w:cstheme="minorHAnsi"/>
        </w:rPr>
      </w:pPr>
      <w:r>
        <w:rPr>
          <w:rFonts w:cstheme="minorHAnsi"/>
          <w:noProof/>
          <w:lang w:val="en-ID" w:eastAsia="en-ID"/>
        </w:rPr>
        <w:lastRenderedPageBreak/>
        <w:drawing>
          <wp:anchor distT="0" distB="0" distL="114300" distR="114300" simplePos="0" relativeHeight="251705856" behindDoc="0" locked="0" layoutInCell="1" allowOverlap="1">
            <wp:simplePos x="0" y="0"/>
            <wp:positionH relativeFrom="page">
              <wp:align>left</wp:align>
            </wp:positionH>
            <wp:positionV relativeFrom="paragraph">
              <wp:posOffset>-907604</wp:posOffset>
            </wp:positionV>
            <wp:extent cx="5291923" cy="7528956"/>
            <wp:effectExtent l="0" t="0" r="444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3187" cy="7544982"/>
                    </a:xfrm>
                    <a:prstGeom prst="rect">
                      <a:avLst/>
                    </a:prstGeom>
                  </pic:spPr>
                </pic:pic>
              </a:graphicData>
            </a:graphic>
            <wp14:sizeRelH relativeFrom="margin">
              <wp14:pctWidth>0</wp14:pctWidth>
            </wp14:sizeRelH>
            <wp14:sizeRelV relativeFrom="margin">
              <wp14:pctHeight>0</wp14:pctHeight>
            </wp14:sizeRelV>
          </wp:anchor>
        </w:drawing>
      </w:r>
    </w:p>
    <w:p>
      <w:pPr>
        <w:tabs>
          <w:tab w:val="left" w:pos="6158"/>
        </w:tabs>
        <w:spacing w:after="0" w:line="240" w:lineRule="auto"/>
        <w:ind w:firstLine="851"/>
        <w:jc w:val="both"/>
        <w:rPr>
          <w:rFonts w:cstheme="minorHAnsi"/>
        </w:rPr>
      </w:pPr>
    </w:p>
    <w:p>
      <w:pPr>
        <w:tabs>
          <w:tab w:val="left" w:pos="6158"/>
        </w:tabs>
        <w:spacing w:after="0"/>
        <w:ind w:firstLine="851"/>
        <w:jc w:val="both"/>
        <w:rPr>
          <w:rFonts w:cstheme="minorHAnsi"/>
        </w:rPr>
      </w:pPr>
    </w:p>
    <w:p>
      <w:pPr>
        <w:jc w:val="both"/>
        <w:rPr>
          <w:rFonts w:cstheme="minorHAnsi"/>
        </w:rPr>
      </w:pPr>
      <w:r>
        <w:rPr>
          <w:rFonts w:cstheme="minorHAnsi"/>
          <w:noProof/>
          <w:lang w:val="en-US" w:eastAsia="id-ID"/>
        </w:rPr>
        <w:t>Pendahulian infografis</w:t>
      </w:r>
      <w:r>
        <w:rPr>
          <w:rFonts w:cstheme="minorHAnsi"/>
        </w:rPr>
        <w:br w:type="page"/>
      </w:r>
    </w:p>
    <w:p>
      <w:pPr>
        <w:tabs>
          <w:tab w:val="left" w:pos="6158"/>
        </w:tabs>
        <w:spacing w:after="0"/>
        <w:jc w:val="both"/>
        <w:rPr>
          <w:rFonts w:cstheme="minorHAnsi"/>
        </w:rPr>
      </w:pPr>
      <w:r>
        <w:rPr>
          <w:noProof/>
          <w:lang w:val="en-ID" w:eastAsia="en-ID"/>
        </w:rPr>
        <w:lastRenderedPageBreak/>
        <mc:AlternateContent>
          <mc:Choice Requires="wps">
            <w:drawing>
              <wp:anchor distT="0" distB="0" distL="114300" distR="114300" simplePos="0" relativeHeight="251681280" behindDoc="0" locked="0" layoutInCell="1" allowOverlap="1">
                <wp:simplePos x="0" y="0"/>
                <wp:positionH relativeFrom="column">
                  <wp:posOffset>-1437005</wp:posOffset>
                </wp:positionH>
                <wp:positionV relativeFrom="paragraph">
                  <wp:posOffset>-1138555</wp:posOffset>
                </wp:positionV>
                <wp:extent cx="7232650" cy="1619885"/>
                <wp:effectExtent l="0" t="0" r="635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0" cy="1619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B13456" id="Rectangle 49" o:spid="_x0000_s1026" style="position:absolute;margin-left:-113.15pt;margin-top:-89.65pt;width:569.5pt;height:127.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" fillcolor="white [3212]" strokecolor="white [3212]" strokeweight="2pt">
                <v:path arrowok="t"/>
              </v:rect>
            </w:pict>
          </mc:Fallback>
        </mc:AlternateContent>
      </w:r>
    </w:p>
    <w:p>
      <w:pPr>
        <w:tabs>
          <w:tab w:val="left" w:pos="6158"/>
        </w:tabs>
        <w:spacing w:after="0"/>
        <w:jc w:val="both"/>
        <w:rPr>
          <w:rFonts w:cstheme="minorHAnsi"/>
        </w:rPr>
      </w:pPr>
    </w:p>
    <w:p>
      <w:pPr>
        <w:tabs>
          <w:tab w:val="left" w:pos="6158"/>
        </w:tabs>
        <w:spacing w:after="0"/>
        <w:jc w:val="both"/>
        <w:rPr>
          <w:rFonts w:cstheme="minorHAnsi"/>
        </w:rPr>
      </w:pPr>
    </w:p>
    <w:p>
      <w:pPr>
        <w:pStyle w:val="ListParagraph"/>
        <w:tabs>
          <w:tab w:val="left" w:pos="6158"/>
        </w:tabs>
        <w:spacing w:after="0"/>
        <w:ind w:left="284"/>
        <w:jc w:val="both"/>
        <w:rPr>
          <w:rFonts w:cstheme="minorHAnsi"/>
        </w:rPr>
      </w:pPr>
    </w:p>
    <w:p>
      <w:pPr>
        <w:tabs>
          <w:tab w:val="left" w:pos="6158"/>
        </w:tabs>
        <w:spacing w:after="0"/>
        <w:jc w:val="both"/>
        <w:rPr>
          <w:rFonts w:cstheme="minorHAnsi"/>
        </w:rPr>
      </w:pPr>
    </w:p>
    <w:p>
      <w:pPr>
        <w:tabs>
          <w:tab w:val="left" w:pos="6158"/>
        </w:tabs>
        <w:spacing w:after="0"/>
        <w:jc w:val="both"/>
        <w:rPr>
          <w:rFonts w:cstheme="minorHAnsi"/>
        </w:rPr>
      </w:pPr>
    </w:p>
    <w:p>
      <w:pPr>
        <w:pStyle w:val="ListParagraph"/>
        <w:tabs>
          <w:tab w:val="left" w:pos="6158"/>
        </w:tabs>
        <w:spacing w:after="0"/>
        <w:ind w:left="284"/>
        <w:jc w:val="both"/>
        <w:rPr>
          <w:rFonts w:cstheme="minorHAnsi"/>
        </w:rPr>
      </w:pPr>
    </w:p>
    <w:p>
      <w:pPr>
        <w:pStyle w:val="ListParagraph"/>
        <w:tabs>
          <w:tab w:val="left" w:pos="6158"/>
        </w:tabs>
        <w:spacing w:after="0"/>
        <w:ind w:left="284"/>
        <w:jc w:val="both"/>
        <w:rPr>
          <w:rFonts w:cstheme="minorHAnsi"/>
        </w:rPr>
      </w:pPr>
    </w:p>
    <w:p>
      <w:pPr>
        <w:pStyle w:val="ListParagraph"/>
        <w:tabs>
          <w:tab w:val="left" w:pos="6158"/>
        </w:tabs>
        <w:spacing w:after="0"/>
        <w:ind w:left="284"/>
        <w:jc w:val="both"/>
        <w:rPr>
          <w:rFonts w:cstheme="minorHAnsi"/>
        </w:rPr>
      </w:pPr>
    </w:p>
    <w:p>
      <w:pPr>
        <w:tabs>
          <w:tab w:val="left" w:pos="6158"/>
        </w:tabs>
        <w:spacing w:after="0"/>
        <w:jc w:val="both"/>
        <w:rPr>
          <w:rFonts w:cstheme="minorHAnsi"/>
        </w:rPr>
      </w:pPr>
    </w:p>
    <w:p>
      <w:pPr>
        <w:tabs>
          <w:tab w:val="left" w:pos="6158"/>
        </w:tabs>
        <w:spacing w:after="0"/>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tabs>
          <w:tab w:val="left" w:pos="6158"/>
        </w:tabs>
        <w:spacing w:after="0"/>
        <w:ind w:firstLine="851"/>
        <w:jc w:val="both"/>
        <w:rPr>
          <w:rFonts w:cstheme="minorHAnsi"/>
        </w:rPr>
      </w:pPr>
    </w:p>
    <w:p>
      <w:pPr>
        <w:jc w:val="both"/>
        <w:rPr>
          <w:rFonts w:cstheme="minorHAnsi"/>
        </w:rPr>
      </w:pPr>
    </w:p>
    <w:p>
      <w:pPr>
        <w:jc w:val="both"/>
        <w:rPr>
          <w:rFonts w:cstheme="minorHAnsi"/>
        </w:rPr>
      </w:pPr>
    </w:p>
    <w:p>
      <w:pPr>
        <w:jc w:val="both"/>
        <w:rPr>
          <w:rFonts w:cstheme="minorHAnsi"/>
        </w:rPr>
      </w:pPr>
    </w:p>
    <w:p>
      <w:pPr>
        <w:jc w:val="both"/>
        <w:rPr>
          <w:rFonts w:cstheme="minorHAnsi"/>
        </w:rPr>
      </w:pPr>
    </w:p>
    <w:p>
      <w:pPr>
        <w:tabs>
          <w:tab w:val="left" w:pos="4344"/>
        </w:tabs>
        <w:jc w:val="both"/>
        <w:rPr>
          <w:rFonts w:cstheme="minorHAnsi"/>
        </w:rPr>
      </w:pPr>
      <w:r>
        <w:rPr>
          <w:rFonts w:cstheme="minorHAnsi"/>
        </w:rPr>
        <w:tab/>
      </w:r>
      <w:r>
        <w:rPr>
          <w:noProof/>
          <w:lang w:val="en-ID" w:eastAsia="en-ID"/>
        </w:rPr>
        <mc:AlternateContent>
          <mc:Choice Requires="wps">
            <w:drawing>
              <wp:anchor distT="0" distB="0" distL="114300" distR="114300" simplePos="0" relativeHeight="251682304" behindDoc="0" locked="0" layoutInCell="1" allowOverlap="1">
                <wp:simplePos x="0" y="0"/>
                <wp:positionH relativeFrom="column">
                  <wp:posOffset>-1485265</wp:posOffset>
                </wp:positionH>
                <wp:positionV relativeFrom="paragraph">
                  <wp:posOffset>2240280</wp:posOffset>
                </wp:positionV>
                <wp:extent cx="7510780" cy="1786255"/>
                <wp:effectExtent l="0" t="0" r="0" b="444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0780" cy="1786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80539" id="Rectangle 48" o:spid="_x0000_s1026" style="position:absolute;margin-left:-116.95pt;margin-top:176.4pt;width:591.4pt;height:140.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58752" behindDoc="0" locked="0" layoutInCell="1" allowOverlap="1">
                <wp:simplePos x="0" y="0"/>
                <wp:positionH relativeFrom="column">
                  <wp:posOffset>-903605</wp:posOffset>
                </wp:positionH>
                <wp:positionV relativeFrom="paragraph">
                  <wp:posOffset>4028440</wp:posOffset>
                </wp:positionV>
                <wp:extent cx="6531610" cy="1097915"/>
                <wp:effectExtent l="0" t="0" r="2540" b="698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1610" cy="1097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D330B" id="Rectangle 47" o:spid="_x0000_s1026" style="position:absolute;margin-left:-71.15pt;margin-top:317.2pt;width:514.3pt;height:8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" fillcolor="white [3212]" strokecolor="white [3212]" strokeweight="2pt">
                <v:path arrowok="t"/>
              </v:rect>
            </w:pict>
          </mc:Fallback>
        </mc:AlternateContent>
      </w:r>
      <w:r>
        <w:rPr>
          <w:noProof/>
          <w:lang w:val="en-ID" w:eastAsia="en-ID"/>
        </w:rPr>
        <mc:AlternateContent>
          <mc:Choice Requires="wps">
            <w:drawing>
              <wp:anchor distT="0" distB="0" distL="114300" distR="114300" simplePos="0" relativeHeight="251664896" behindDoc="0" locked="0" layoutInCell="1" allowOverlap="1">
                <wp:simplePos x="0" y="0"/>
                <wp:positionH relativeFrom="column">
                  <wp:posOffset>-974725</wp:posOffset>
                </wp:positionH>
                <wp:positionV relativeFrom="paragraph">
                  <wp:posOffset>-888365</wp:posOffset>
                </wp:positionV>
                <wp:extent cx="6857365" cy="9240520"/>
                <wp:effectExtent l="0" t="0" r="63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7365" cy="924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C7D35E" id="Rectangle 46" o:spid="_x0000_s1026" style="position:absolute;margin-left:-76.75pt;margin-top:-69.95pt;width:539.95pt;height:72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" fillcolor="white [3212]" strokecolor="white [3212]" strokeweight="2pt">
                <v:path arrowok="t"/>
              </v:rect>
            </w:pict>
          </mc:Fallback>
        </mc:AlternateContent>
      </w:r>
      <w:r>
        <w:rPr>
          <w:rFonts w:cstheme="minorHAnsi"/>
        </w:rPr>
        <w:br w:type="page"/>
      </w:r>
    </w:p>
    <w:p>
      <w:pPr>
        <w:pStyle w:val="Heading1"/>
        <w:spacing w:after="0"/>
        <w:rPr>
          <w:rFonts w:asciiTheme="minorHAnsi" w:hAnsiTheme="minorHAnsi" w:cstheme="minorHAnsi"/>
          <w:sz w:val="32"/>
          <w:lang w:val="en-US"/>
        </w:rPr>
      </w:pPr>
      <w:bookmarkStart w:id="5" w:name="_Toc118715965"/>
      <w:r>
        <w:rPr>
          <w:rFonts w:asciiTheme="minorHAnsi" w:hAnsiTheme="minorHAnsi" w:cstheme="minorHAnsi"/>
          <w:sz w:val="32"/>
          <w:lang w:val="en-US"/>
        </w:rPr>
        <w:lastRenderedPageBreak/>
        <w:t>BAB I</w:t>
      </w:r>
      <w:bookmarkEnd w:id="5"/>
    </w:p>
    <w:p>
      <w:pPr>
        <w:pStyle w:val="Title"/>
        <w:rPr>
          <w:sz w:val="32"/>
          <w:szCs w:val="32"/>
        </w:rPr>
      </w:pPr>
      <w:r>
        <w:rPr>
          <w:sz w:val="32"/>
          <w:szCs w:val="32"/>
        </w:rPr>
        <w:t>PENDAHULUAN</w:t>
      </w:r>
    </w:p>
    <w:p>
      <w:pPr>
        <w:pStyle w:val="Title"/>
        <w:rPr>
          <w:sz w:val="20"/>
        </w:rPr>
      </w:pPr>
    </w:p>
    <w:p>
      <w:pPr>
        <w:pStyle w:val="Heading2"/>
        <w:numPr>
          <w:ilvl w:val="1"/>
          <w:numId w:val="12"/>
        </w:numPr>
        <w:ind w:left="450" w:hanging="450"/>
        <w:jc w:val="both"/>
        <w:rPr>
          <w:rFonts w:asciiTheme="minorHAnsi" w:hAnsiTheme="minorHAnsi" w:cstheme="minorHAnsi"/>
          <w:sz w:val="20"/>
          <w:szCs w:val="20"/>
        </w:rPr>
      </w:pPr>
      <w:bookmarkStart w:id="6" w:name="_Toc118715966"/>
      <w:r>
        <w:rPr>
          <w:rFonts w:asciiTheme="minorHAnsi" w:hAnsiTheme="minorHAnsi" w:cstheme="minorHAnsi"/>
          <w:sz w:val="20"/>
          <w:szCs w:val="20"/>
          <w:lang w:val="en-US"/>
        </w:rPr>
        <w:t>Latar Belakang</w:t>
      </w:r>
      <w:bookmarkEnd w:id="6"/>
    </w:p>
    <w:p>
      <w:pPr>
        <w:pStyle w:val="NormalWeb"/>
        <w:tabs>
          <w:tab w:val="left" w:pos="4820"/>
        </w:tabs>
        <w:spacing w:before="0" w:beforeAutospacing="0" w:after="0" w:afterAutospacing="0" w:line="360" w:lineRule="auto"/>
        <w:ind w:left="142" w:firstLine="567"/>
        <w:jc w:val="both"/>
        <w:rPr>
          <w:rFonts w:asciiTheme="minorHAnsi" w:hAnsiTheme="minorHAnsi" w:cstheme="minorHAnsi"/>
          <w:sz w:val="20"/>
          <w:szCs w:val="20"/>
        </w:rPr>
      </w:pPr>
      <w:r>
        <w:rPr>
          <w:rFonts w:asciiTheme="minorHAnsi" w:hAnsiTheme="minorHAnsi" w:cs="Arial"/>
          <w:sz w:val="20"/>
          <w:szCs w:val="20"/>
        </w:rPr>
        <w:t xml:space="preserve">Salah satu tujuan pembangunan adalah untuk mensejahterakan dan meningkatkan taraf hidup masyarakat dalam berbagai aspek untuk menuju kehidupan yang lebih baik di waktu sekarang maupun di waktu mendatang. </w:t>
      </w:r>
      <w:r>
        <w:rPr>
          <w:rFonts w:asciiTheme="minorHAnsi" w:hAnsiTheme="minorHAnsi" w:cstheme="minorHAnsi"/>
          <w:sz w:val="20"/>
          <w:szCs w:val="20"/>
        </w:rPr>
        <w:t>Pembangunan pada dasarnya harus bisa memberikan keadilan dan kemakmuran kepada semua masyarakat, baik laki-laki maupun perempuan. Namun disadari bahwa keterlibatan perempuan dalam pembangunan, sebagian masih belum maksimal. Sebagai contoh dari 45 anggota DPRD Provinsi Kalimantan Tengah pada tahun 2021 sebanyak 30 orang adalah laki-laki dan hanya 15 orang (33,3 persen) yang perempuan. Tidak hanya di sektor pemerintahan, namun di sektor swasta dan juga sektor-sektor lainnya, laki-laki masih mendominasi pada berbagai jenis pekerjaan yang semestinya bisa dilakukan oleh perempuan.</w:t>
      </w:r>
    </w:p>
    <w:p>
      <w:pPr>
        <w:tabs>
          <w:tab w:val="left" w:pos="5103"/>
        </w:tabs>
        <w:autoSpaceDE w:val="0"/>
        <w:autoSpaceDN w:val="0"/>
        <w:adjustRightInd w:val="0"/>
        <w:spacing w:after="0" w:line="360" w:lineRule="auto"/>
        <w:ind w:left="142" w:firstLine="567"/>
        <w:jc w:val="both"/>
        <w:rPr>
          <w:rFonts w:cstheme="minorHAnsi"/>
          <w:sz w:val="20"/>
          <w:szCs w:val="20"/>
        </w:rPr>
      </w:pPr>
      <w:r>
        <w:rPr>
          <w:rFonts w:cstheme="minorHAnsi"/>
          <w:sz w:val="20"/>
          <w:szCs w:val="20"/>
        </w:rPr>
        <w:t xml:space="preserve">Sejalan dengan peran perempuan sebagai subjek dan objek pembangunan, maka  data dan informasi terkait gambaran perempuan dalam berbagai bidang kehidupan sangat diperlukan. Isu kesetaraan gender kemudian digaungkan sebagai salah satu upaya agar perempuan memiliki kesempatan dan peluang yang sama dengan laki-laki yang selanjutnya dimanifestasikan dalam tujuan kelima </w:t>
      </w:r>
      <w:r>
        <w:rPr>
          <w:rFonts w:cstheme="minorHAnsi"/>
          <w:i/>
          <w:iCs/>
          <w:sz w:val="20"/>
          <w:szCs w:val="20"/>
        </w:rPr>
        <w:t>Sustainable Development Goals</w:t>
      </w:r>
      <w:r>
        <w:rPr>
          <w:rFonts w:cstheme="minorHAnsi"/>
          <w:sz w:val="20"/>
          <w:szCs w:val="20"/>
        </w:rPr>
        <w:t xml:space="preserve"> (SDGs) yang perlu dicapai oleh Indonesia pada akhir tahun 2030, yaitu “Mencapai kesetaraan gender dan memberdayakan semua perempuan dan anak perempuan”.</w:t>
      </w:r>
    </w:p>
    <w:p>
      <w:pPr>
        <w:tabs>
          <w:tab w:val="left" w:pos="5103"/>
        </w:tabs>
        <w:autoSpaceDE w:val="0"/>
        <w:autoSpaceDN w:val="0"/>
        <w:adjustRightInd w:val="0"/>
        <w:spacing w:after="0" w:line="360" w:lineRule="auto"/>
        <w:ind w:left="142" w:firstLine="425"/>
        <w:jc w:val="both"/>
        <w:rPr>
          <w:rFonts w:cstheme="minorHAnsi"/>
          <w:sz w:val="20"/>
          <w:szCs w:val="20"/>
        </w:rPr>
      </w:pPr>
      <w:r>
        <w:rPr>
          <w:rFonts w:cstheme="minorHAnsi"/>
          <w:sz w:val="20"/>
          <w:szCs w:val="20"/>
        </w:rPr>
        <w:lastRenderedPageBreak/>
        <w:t>Di tingkat nasional, pemerintah telah melakukan upaya untuk</w:t>
      </w:r>
      <w:r>
        <w:rPr>
          <w:rFonts w:cstheme="minorHAnsi"/>
          <w:sz w:val="20"/>
          <w:szCs w:val="20"/>
          <w:lang w:val="en-US"/>
        </w:rPr>
        <w:t xml:space="preserve"> </w:t>
      </w:r>
      <w:r>
        <w:rPr>
          <w:rFonts w:cstheme="minorHAnsi"/>
          <w:sz w:val="20"/>
          <w:szCs w:val="20"/>
        </w:rPr>
        <w:t>mengurangi kesenjangan gender dan mewujudkan kesetaraan gender di</w:t>
      </w:r>
      <w:r>
        <w:rPr>
          <w:rFonts w:cstheme="minorHAnsi"/>
          <w:sz w:val="20"/>
          <w:szCs w:val="20"/>
          <w:lang w:val="en-US"/>
        </w:rPr>
        <w:t xml:space="preserve"> </w:t>
      </w:r>
      <w:r>
        <w:rPr>
          <w:rFonts w:cstheme="minorHAnsi"/>
          <w:sz w:val="20"/>
          <w:szCs w:val="20"/>
        </w:rPr>
        <w:t xml:space="preserve">berbagai bidang pembangunan dengan menerapkan pengarusutamaan gender </w:t>
      </w:r>
    </w:p>
    <w:p>
      <w:pPr>
        <w:tabs>
          <w:tab w:val="left" w:pos="4962"/>
        </w:tabs>
        <w:autoSpaceDE w:val="0"/>
        <w:autoSpaceDN w:val="0"/>
        <w:adjustRightInd w:val="0"/>
        <w:spacing w:after="0" w:line="360" w:lineRule="auto"/>
        <w:ind w:left="142" w:firstLine="567"/>
        <w:jc w:val="both"/>
        <w:rPr>
          <w:rFonts w:cstheme="minorHAnsi"/>
          <w:sz w:val="20"/>
          <w:szCs w:val="20"/>
        </w:rPr>
      </w:pPr>
      <w:r>
        <w:rPr>
          <w:rFonts w:cstheme="minorHAnsi"/>
          <w:sz w:val="20"/>
          <w:szCs w:val="20"/>
        </w:rPr>
        <w:t>melalui Instruksi Presiden Nomor 9 Tahun 2000 tentang Pengarusutamaan Gender. Dalam pembangunan nasional mengamanatkan bagi semua Kementerian, dan Lembaga, Pemerintah Daerah Provinsi, Kabupaten, dan Kota untuk melakukan pengarusutamaan gender sehingga seluruh proses perencanaan, pelaksanaan, monitoring dan evaluasi dari seluruh kebijakan, program dan kegiatan di seluruh sektor pembangunan mempertimbangkan aspek gender.</w:t>
      </w:r>
    </w:p>
    <w:p>
      <w:pPr>
        <w:tabs>
          <w:tab w:val="left" w:pos="5245"/>
          <w:tab w:val="left" w:pos="5387"/>
        </w:tabs>
        <w:autoSpaceDE w:val="0"/>
        <w:autoSpaceDN w:val="0"/>
        <w:adjustRightInd w:val="0"/>
        <w:spacing w:after="0" w:line="360" w:lineRule="auto"/>
        <w:ind w:left="142" w:firstLine="425"/>
        <w:jc w:val="both"/>
        <w:rPr>
          <w:rFonts w:cstheme="minorHAnsi"/>
          <w:sz w:val="20"/>
          <w:szCs w:val="20"/>
        </w:rPr>
      </w:pPr>
      <w:r>
        <w:rPr>
          <w:rFonts w:cstheme="minorHAnsi"/>
          <w:sz w:val="20"/>
          <w:szCs w:val="20"/>
        </w:rPr>
        <w:t>Pengarusutamaan gender (PUG) adalah proses untuk menjamin perempuan dan laki-laki mempunyai akses dan kontrol terhadap sumber daya, memperoleh manfaat pembangunan dan pengambilan keputusan yang sama di semua tahapan proses pembangunan dan seluruh proyek, program dan kebijakan pemerintah (KemenPPPA, 2020). Salah satu dari tujuh prasyarat awal pelaksanaan PUG di daerah, yaitu pada prasyarat kelima, adalah terdapat Data Terpilah yang dapat ditunjukkan dengan adanya Profil Gender Statistik Gender (KemenPPPA, 2018).</w:t>
      </w:r>
    </w:p>
    <w:p>
      <w:pPr>
        <w:tabs>
          <w:tab w:val="left" w:pos="993"/>
        </w:tabs>
        <w:autoSpaceDE w:val="0"/>
        <w:autoSpaceDN w:val="0"/>
        <w:adjustRightInd w:val="0"/>
        <w:spacing w:after="0" w:line="360" w:lineRule="auto"/>
        <w:ind w:left="142" w:firstLine="567"/>
        <w:jc w:val="both"/>
        <w:rPr>
          <w:rFonts w:cstheme="minorHAnsi"/>
          <w:sz w:val="20"/>
          <w:szCs w:val="20"/>
          <w:lang w:val="en-US"/>
        </w:rPr>
      </w:pPr>
      <w:r>
        <w:rPr>
          <w:rFonts w:cstheme="minorHAnsi"/>
          <w:sz w:val="20"/>
          <w:szCs w:val="20"/>
        </w:rPr>
        <w:t>Data Terpilah merupakan informasi awal sebagai pembuka wawasan dan juga sebagai salah satu indikator dalam melihat tingkat partisipasi gender, sehingga menjadi faktor yang sangat penting dalam pengarusutamaan gender.  Penyediaan data terpilah dibutuhkan untuk</w:t>
      </w:r>
      <w:r>
        <w:rPr>
          <w:rFonts w:cstheme="minorHAnsi"/>
          <w:sz w:val="20"/>
          <w:szCs w:val="20"/>
          <w:lang w:val="en-US"/>
        </w:rPr>
        <w:t xml:space="preserve"> </w:t>
      </w:r>
      <w:r>
        <w:rPr>
          <w:rFonts w:cstheme="minorHAnsi"/>
          <w:sz w:val="20"/>
          <w:szCs w:val="20"/>
        </w:rPr>
        <w:t xml:space="preserve">memperoleh informasi pembuka wawasan yang dapat menggambarkan kondisi, kebutuhan, persoalan yang dihadapi perempuan dan laki-laki terkait dengan akses, partisipasi, control </w:t>
      </w:r>
      <w:r>
        <w:rPr>
          <w:rFonts w:cstheme="minorHAnsi"/>
          <w:sz w:val="20"/>
          <w:szCs w:val="20"/>
        </w:rPr>
        <w:lastRenderedPageBreak/>
        <w:t>dan manfaat dalam pembangunan. Penyediaan data terpilah di berbagai sektor sudah merupakan keharusan, sesuai dengan kesepakatan global agar pemerintah dapat melaporkan keberhasilannya dalam upaya memenuhi komitmen global, untuk mengurangi atau meniadakan kesenjangan gender dan meningkatkan kesetaraan gender dalam pembangunan. Data tersebut sangat dibutuhkan untuk menyusun analisis gender dalam perencanaan dan penganggaran berbasis kinerja, maupun untuk mereformulasikan kebijakan.</w:t>
      </w:r>
    </w:p>
    <w:p>
      <w:pPr>
        <w:autoSpaceDE w:val="0"/>
        <w:autoSpaceDN w:val="0"/>
        <w:adjustRightInd w:val="0"/>
        <w:spacing w:line="360" w:lineRule="auto"/>
        <w:ind w:left="142" w:firstLine="709"/>
        <w:jc w:val="both"/>
        <w:rPr>
          <w:rFonts w:cstheme="minorHAnsi"/>
          <w:sz w:val="20"/>
          <w:szCs w:val="20"/>
        </w:rPr>
      </w:pPr>
      <w:r>
        <w:rPr>
          <w:rFonts w:cstheme="minorHAnsi"/>
          <w:sz w:val="20"/>
          <w:szCs w:val="20"/>
        </w:rPr>
        <w:t>Mengingat pentingnya ketersediaan data terpilah untuk mendukung perencanaan dan evaluasi program kegiatan pembangunan, Badan Pemberdayaan Perempuan dan Perlindungan Anak  Provinsi Kalimantan Tengah berusaha menyusun Data Terpilah yakni data yang dipilah berdasarkan jenis kelamin laki-laki dan perempuan serta berdasarkan usia anak dan dewasa. Hasilnya kemudian di susun dalam sebuah buku serta disusun menjadi Basis Data (</w:t>
      </w:r>
      <w:r>
        <w:rPr>
          <w:rFonts w:cstheme="minorHAnsi"/>
          <w:i/>
          <w:iCs/>
          <w:sz w:val="20"/>
          <w:szCs w:val="20"/>
        </w:rPr>
        <w:t>Data Base</w:t>
      </w:r>
      <w:r>
        <w:rPr>
          <w:rFonts w:cstheme="minorHAnsi"/>
          <w:sz w:val="20"/>
          <w:szCs w:val="20"/>
        </w:rPr>
        <w:t>).  Sehubungan dengan hal tersebut, Badan Pemberdayaan Perempuan dan Perlindungan Anak bersama BPS menyusun Data Terpilah Provinsi Kalimantan Tengah yang responsif gender.</w:t>
      </w:r>
    </w:p>
    <w:p>
      <w:pPr>
        <w:pStyle w:val="Heading2"/>
        <w:numPr>
          <w:ilvl w:val="1"/>
          <w:numId w:val="12"/>
        </w:numPr>
        <w:ind w:left="567" w:hanging="567"/>
        <w:jc w:val="both"/>
        <w:rPr>
          <w:rFonts w:asciiTheme="minorHAnsi" w:hAnsiTheme="minorHAnsi" w:cstheme="minorHAnsi"/>
          <w:sz w:val="20"/>
          <w:szCs w:val="20"/>
          <w:lang w:val="en-US"/>
        </w:rPr>
      </w:pPr>
      <w:bookmarkStart w:id="7" w:name="_Toc118715967"/>
      <w:r>
        <w:rPr>
          <w:rFonts w:asciiTheme="minorHAnsi" w:hAnsiTheme="minorHAnsi" w:cstheme="minorHAnsi"/>
          <w:sz w:val="20"/>
          <w:szCs w:val="20"/>
          <w:lang w:val="en-US"/>
        </w:rPr>
        <w:t>Maksud dan Tujuan</w:t>
      </w:r>
      <w:bookmarkEnd w:id="7"/>
    </w:p>
    <w:p>
      <w:pPr>
        <w:spacing w:after="0" w:line="360" w:lineRule="auto"/>
        <w:ind w:firstLine="709"/>
        <w:jc w:val="both"/>
        <w:rPr>
          <w:rFonts w:cstheme="minorHAnsi"/>
          <w:sz w:val="20"/>
          <w:szCs w:val="20"/>
        </w:rPr>
      </w:pPr>
      <w:r>
        <w:rPr>
          <w:rFonts w:cstheme="minorHAnsi"/>
          <w:sz w:val="20"/>
          <w:szCs w:val="20"/>
        </w:rPr>
        <w:t>Penyusunan data terpilah Provinsi Kalimantan Tengah Tahun 2021 dimaksudkan untuk dapat memberikan gambaran secara statistik mengenai kesenjangan gender dalam bidang pendidikan, kesehatan, ekonomi, politik, hukum serta masalah sosial yang dihadapi perempuan dan laki-laki.  Khususnya dalam kehidupan bermasyarakat dan bernegara di Provinsi Kalimantan Tengah.</w:t>
      </w:r>
    </w:p>
    <w:p>
      <w:pPr>
        <w:spacing w:line="360" w:lineRule="auto"/>
        <w:ind w:firstLine="709"/>
        <w:jc w:val="both"/>
        <w:rPr>
          <w:sz w:val="20"/>
          <w:szCs w:val="20"/>
        </w:rPr>
      </w:pPr>
      <w:r>
        <w:rPr>
          <w:rFonts w:cstheme="minorHAnsi"/>
          <w:sz w:val="20"/>
          <w:szCs w:val="20"/>
        </w:rPr>
        <w:t xml:space="preserve">Tujuan penyusunan data terpilah ini dapat digunakan untuk menyusun analisis gender dalam perencanaan dan penganggaran berbasis kinerja, maupun </w:t>
      </w:r>
      <w:r>
        <w:rPr>
          <w:rFonts w:cstheme="minorHAnsi"/>
          <w:sz w:val="20"/>
          <w:szCs w:val="20"/>
        </w:rPr>
        <w:lastRenderedPageBreak/>
        <w:t>untuk mereformulasikan kebijakan dan evaluasi program-program berbasis gender pada tingkat regional sehingga perumusan perencanaan dan kebijakan program tentang peningkatan peranan perempuan lebih tepat sasaran.</w:t>
      </w:r>
    </w:p>
    <w:p>
      <w:pPr>
        <w:pStyle w:val="Heading2"/>
        <w:numPr>
          <w:ilvl w:val="1"/>
          <w:numId w:val="12"/>
        </w:numPr>
        <w:ind w:left="450" w:hanging="450"/>
        <w:jc w:val="both"/>
        <w:rPr>
          <w:rFonts w:asciiTheme="minorHAnsi" w:hAnsiTheme="minorHAnsi" w:cstheme="minorHAnsi"/>
          <w:sz w:val="20"/>
          <w:szCs w:val="20"/>
          <w:lang w:val="en-US"/>
        </w:rPr>
      </w:pPr>
      <w:bookmarkStart w:id="8" w:name="_Toc118715968"/>
      <w:r>
        <w:rPr>
          <w:rFonts w:asciiTheme="minorHAnsi" w:hAnsiTheme="minorHAnsi" w:cstheme="minorHAnsi"/>
          <w:sz w:val="20"/>
          <w:szCs w:val="20"/>
        </w:rPr>
        <w:t>M</w:t>
      </w:r>
      <w:r>
        <w:rPr>
          <w:rFonts w:asciiTheme="minorHAnsi" w:hAnsiTheme="minorHAnsi" w:cstheme="minorHAnsi"/>
          <w:sz w:val="20"/>
          <w:szCs w:val="20"/>
          <w:lang w:val="en-US"/>
        </w:rPr>
        <w:t>anfaat</w:t>
      </w:r>
      <w:bookmarkEnd w:id="8"/>
    </w:p>
    <w:p>
      <w:pPr>
        <w:autoSpaceDE w:val="0"/>
        <w:autoSpaceDN w:val="0"/>
        <w:adjustRightInd w:val="0"/>
        <w:spacing w:line="240" w:lineRule="auto"/>
        <w:ind w:left="284" w:firstLine="283"/>
        <w:jc w:val="both"/>
        <w:rPr>
          <w:rFonts w:cstheme="minorHAnsi"/>
          <w:sz w:val="20"/>
          <w:szCs w:val="20"/>
        </w:rPr>
      </w:pPr>
      <w:r>
        <w:rPr>
          <w:rFonts w:cstheme="minorHAnsi"/>
          <w:sz w:val="20"/>
          <w:szCs w:val="20"/>
        </w:rPr>
        <w:t>Beberapa manfaat dari data terpilah adalah sebagai berikut :</w:t>
      </w:r>
    </w:p>
    <w:p>
      <w:pPr>
        <w:pStyle w:val="ListParagraph"/>
        <w:numPr>
          <w:ilvl w:val="0"/>
          <w:numId w:val="20"/>
        </w:numPr>
        <w:autoSpaceDE w:val="0"/>
        <w:autoSpaceDN w:val="0"/>
        <w:adjustRightInd w:val="0"/>
        <w:spacing w:after="0" w:line="360" w:lineRule="auto"/>
        <w:ind w:left="284" w:hanging="284"/>
        <w:jc w:val="both"/>
        <w:rPr>
          <w:rFonts w:cstheme="minorHAnsi"/>
          <w:sz w:val="20"/>
          <w:szCs w:val="20"/>
        </w:rPr>
      </w:pPr>
      <w:r>
        <w:rPr>
          <w:rFonts w:cstheme="minorHAnsi"/>
          <w:sz w:val="20"/>
          <w:szCs w:val="20"/>
        </w:rPr>
        <w:t>Sebagai baseline/pemetaan data untuk mengurangi kesenjangan perempuan dan laki-laki dalam memperoleh akses, kesempatan partisipasi, kontrol, dan mendapatkan manfaat atas kebijakan, program dan hasil pembangunan secara adil dan setara.</w:t>
      </w:r>
    </w:p>
    <w:p>
      <w:pPr>
        <w:pStyle w:val="ListParagraph"/>
        <w:numPr>
          <w:ilvl w:val="0"/>
          <w:numId w:val="20"/>
        </w:numPr>
        <w:autoSpaceDE w:val="0"/>
        <w:autoSpaceDN w:val="0"/>
        <w:adjustRightInd w:val="0"/>
        <w:spacing w:after="0" w:line="360" w:lineRule="auto"/>
        <w:ind w:left="284" w:hanging="284"/>
        <w:jc w:val="both"/>
        <w:rPr>
          <w:rFonts w:cstheme="minorHAnsi"/>
          <w:sz w:val="20"/>
          <w:szCs w:val="20"/>
        </w:rPr>
      </w:pPr>
      <w:r>
        <w:rPr>
          <w:rFonts w:cstheme="minorHAnsi"/>
          <w:sz w:val="20"/>
          <w:szCs w:val="20"/>
        </w:rPr>
        <w:t xml:space="preserve">Digunakan dalam melakukan analisis gender melalui </w:t>
      </w:r>
      <w:r>
        <w:rPr>
          <w:rFonts w:cstheme="minorHAnsi"/>
          <w:i/>
          <w:iCs/>
          <w:sz w:val="20"/>
          <w:szCs w:val="20"/>
        </w:rPr>
        <w:t xml:space="preserve">Gender Analisis Pathway </w:t>
      </w:r>
      <w:r>
        <w:rPr>
          <w:rFonts w:cstheme="minorHAnsi"/>
          <w:sz w:val="20"/>
          <w:szCs w:val="20"/>
        </w:rPr>
        <w:t xml:space="preserve">(GAP) atau </w:t>
      </w:r>
      <w:r>
        <w:rPr>
          <w:rFonts w:cstheme="minorHAnsi"/>
          <w:i/>
          <w:iCs/>
          <w:sz w:val="20"/>
          <w:szCs w:val="20"/>
        </w:rPr>
        <w:t xml:space="preserve">Gender Check List </w:t>
      </w:r>
      <w:r>
        <w:rPr>
          <w:rFonts w:cstheme="minorHAnsi"/>
          <w:sz w:val="20"/>
          <w:szCs w:val="20"/>
        </w:rPr>
        <w:t>yang diperlukan untuk penyusunan Perencanaan dan Penganggaran yang Responsif Gender (PPRG) yang berbasis kinerja.</w:t>
      </w:r>
    </w:p>
    <w:p>
      <w:pPr>
        <w:pStyle w:val="ListParagraph"/>
        <w:numPr>
          <w:ilvl w:val="0"/>
          <w:numId w:val="20"/>
        </w:numPr>
        <w:autoSpaceDE w:val="0"/>
        <w:autoSpaceDN w:val="0"/>
        <w:adjustRightInd w:val="0"/>
        <w:spacing w:after="0" w:line="360" w:lineRule="auto"/>
        <w:ind w:left="284" w:hanging="284"/>
        <w:jc w:val="both"/>
        <w:rPr>
          <w:rFonts w:cstheme="minorHAnsi"/>
          <w:sz w:val="20"/>
          <w:szCs w:val="20"/>
        </w:rPr>
      </w:pPr>
      <w:r>
        <w:rPr>
          <w:rFonts w:cstheme="minorHAnsi"/>
          <w:sz w:val="20"/>
          <w:szCs w:val="20"/>
        </w:rPr>
        <w:t>Sebagai</w:t>
      </w:r>
      <w:r>
        <w:rPr>
          <w:rFonts w:cstheme="minorHAnsi"/>
          <w:sz w:val="20"/>
          <w:szCs w:val="20"/>
          <w:lang w:val="en-US"/>
        </w:rPr>
        <w:t xml:space="preserve"> </w:t>
      </w:r>
      <w:r>
        <w:rPr>
          <w:rFonts w:cstheme="minorHAnsi"/>
          <w:sz w:val="20"/>
          <w:szCs w:val="20"/>
        </w:rPr>
        <w:t>dasar untuk mengintervensi/mereformulasi</w:t>
      </w:r>
      <w:r>
        <w:rPr>
          <w:rFonts w:cstheme="minorHAnsi"/>
          <w:sz w:val="20"/>
          <w:szCs w:val="20"/>
          <w:lang w:val="en-US"/>
        </w:rPr>
        <w:t xml:space="preserve"> </w:t>
      </w:r>
      <w:r>
        <w:rPr>
          <w:rFonts w:cstheme="minorHAnsi"/>
          <w:sz w:val="20"/>
          <w:szCs w:val="20"/>
        </w:rPr>
        <w:t>kebijakan/program/ kegiatan pembangunan yang responsif gender.</w:t>
      </w:r>
    </w:p>
    <w:p>
      <w:pPr>
        <w:pStyle w:val="BodyText"/>
        <w:widowControl w:val="0"/>
        <w:spacing w:after="0" w:line="360" w:lineRule="auto"/>
        <w:ind w:firstLine="851"/>
        <w:jc w:val="both"/>
        <w:rPr>
          <w:rFonts w:asciiTheme="minorHAnsi" w:hAnsiTheme="minorHAnsi" w:cstheme="minorHAnsi"/>
          <w:color w:val="auto"/>
          <w:lang w:val="en-US"/>
        </w:rPr>
      </w:pPr>
    </w:p>
    <w:p>
      <w:pPr>
        <w:pStyle w:val="Heading2"/>
        <w:numPr>
          <w:ilvl w:val="1"/>
          <w:numId w:val="12"/>
        </w:numPr>
        <w:tabs>
          <w:tab w:val="left" w:pos="851"/>
        </w:tabs>
        <w:ind w:left="567" w:hanging="567"/>
        <w:jc w:val="both"/>
        <w:rPr>
          <w:rFonts w:asciiTheme="minorHAnsi" w:hAnsiTheme="minorHAnsi" w:cstheme="minorHAnsi"/>
          <w:sz w:val="20"/>
          <w:szCs w:val="20"/>
          <w:lang w:val="en-US"/>
        </w:rPr>
      </w:pPr>
      <w:bookmarkStart w:id="9" w:name="_Toc118715969"/>
      <w:r>
        <w:rPr>
          <w:rFonts w:asciiTheme="minorHAnsi" w:hAnsiTheme="minorHAnsi" w:cstheme="minorHAnsi"/>
          <w:sz w:val="20"/>
          <w:szCs w:val="20"/>
          <w:lang w:val="en-US"/>
        </w:rPr>
        <w:t>Sumber Data</w:t>
      </w:r>
      <w:bookmarkEnd w:id="9"/>
    </w:p>
    <w:p>
      <w:pPr>
        <w:widowControl w:val="0"/>
        <w:spacing w:after="0" w:line="360" w:lineRule="auto"/>
        <w:ind w:left="142" w:right="4" w:firstLine="567"/>
        <w:jc w:val="both"/>
        <w:rPr>
          <w:rFonts w:cstheme="minorHAnsi"/>
          <w:spacing w:val="-6"/>
          <w:sz w:val="20"/>
          <w:szCs w:val="20"/>
          <w:lang w:val="en-US"/>
        </w:rPr>
      </w:pPr>
      <w:r>
        <w:rPr>
          <w:rFonts w:cstheme="minorHAnsi"/>
          <w:sz w:val="20"/>
          <w:szCs w:val="20"/>
        </w:rPr>
        <w:t>Sumber data utama dalam penyusunan Publikasi Terpilah Gender dan Anak Provinsi Kalimantan Tengah Tahun 2021 adalah Survei Sosial Ekonomi Nasional (SUSENAS). Selain itu, data juga bersumber dari hasil Sensus Penduduk (SP), Survei Angkatan Kerja Nasional (SAKERNAS) dan data sekunder atau data yang berasal dari hasil penelitian dan dinas/SOPD terkait.</w:t>
      </w:r>
    </w:p>
    <w:p>
      <w:pPr>
        <w:spacing w:line="360" w:lineRule="auto"/>
        <w:jc w:val="both"/>
        <w:rPr>
          <w:rFonts w:cstheme="minorHAnsi"/>
          <w:spacing w:val="-6"/>
          <w:szCs w:val="24"/>
          <w:lang w:val="en-US"/>
        </w:rPr>
      </w:pPr>
      <w:r>
        <w:rPr>
          <w:rFonts w:cstheme="minorHAnsi"/>
          <w:spacing w:val="-6"/>
          <w:szCs w:val="24"/>
          <w:lang w:val="en-US"/>
        </w:rPr>
        <w:br w:type="page"/>
      </w:r>
    </w:p>
    <w:p>
      <w:pPr>
        <w:jc w:val="both"/>
        <w:rPr>
          <w:rFonts w:cstheme="minorHAnsi"/>
          <w:spacing w:val="-6"/>
          <w:szCs w:val="24"/>
          <w:lang w:val="en-US"/>
        </w:rPr>
      </w:pPr>
      <w:r>
        <w:rPr>
          <w:noProof/>
          <w:lang w:val="en-ID" w:eastAsia="en-ID"/>
        </w:rPr>
        <w:lastRenderedPageBreak/>
        <mc:AlternateContent>
          <mc:Choice Requires="wps">
            <w:drawing>
              <wp:anchor distT="0" distB="0" distL="114300" distR="114300" simplePos="0" relativeHeight="251659776" behindDoc="0" locked="0" layoutInCell="1" allowOverlap="1">
                <wp:simplePos x="0" y="0"/>
                <wp:positionH relativeFrom="column">
                  <wp:posOffset>-900430</wp:posOffset>
                </wp:positionH>
                <wp:positionV relativeFrom="paragraph">
                  <wp:posOffset>-900430</wp:posOffset>
                </wp:positionV>
                <wp:extent cx="6517640" cy="922401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640" cy="9224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9B43BC" id="Rectangle 45" o:spid="_x0000_s1026" style="position:absolute;margin-left:-70.9pt;margin-top:-70.9pt;width:513.2pt;height:72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" fillcolor="white [3212]" strokecolor="white [3212]" strokeweight="2pt">
                <v:path arrowok="t"/>
              </v:rect>
            </w:pict>
          </mc:Fallback>
        </mc:AlternateContent>
      </w:r>
      <w:r>
        <w:rPr>
          <w:rFonts w:cstheme="minorHAnsi"/>
          <w:spacing w:val="-6"/>
          <w:szCs w:val="24"/>
          <w:lang w:val="en-US"/>
        </w:rPr>
        <w:br w:type="page"/>
      </w:r>
    </w:p>
    <w:p>
      <w:pPr>
        <w:jc w:val="both"/>
        <w:rPr>
          <w:rFonts w:cstheme="minorHAnsi"/>
          <w:b/>
          <w:bCs/>
          <w:noProof/>
          <w:color w:val="C00000"/>
          <w:spacing w:val="-6"/>
          <w:sz w:val="36"/>
          <w:szCs w:val="36"/>
          <w:lang w:val="en-US" w:eastAsia="id-ID"/>
        </w:rPr>
      </w:pPr>
      <w:r>
        <w:rPr>
          <w:rFonts w:cstheme="minorHAnsi"/>
          <w:b/>
          <w:bCs/>
          <w:noProof/>
          <w:color w:val="C00000"/>
          <w:spacing w:val="-6"/>
          <w:sz w:val="36"/>
          <w:szCs w:val="36"/>
          <w:lang w:val="en-ID" w:eastAsia="en-ID"/>
        </w:rPr>
        <w:lastRenderedPageBreak/>
        <w:drawing>
          <wp:anchor distT="0" distB="0" distL="114300" distR="114300" simplePos="0" relativeHeight="251706880" behindDoc="0" locked="0" layoutInCell="1" allowOverlap="1">
            <wp:simplePos x="0" y="0"/>
            <wp:positionH relativeFrom="page">
              <wp:align>left</wp:align>
            </wp:positionH>
            <wp:positionV relativeFrom="paragraph">
              <wp:posOffset>-907605</wp:posOffset>
            </wp:positionV>
            <wp:extent cx="5347724" cy="7528956"/>
            <wp:effectExtent l="0" t="0" r="571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57957" cy="7543362"/>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C00000"/>
          <w:spacing w:val="-6"/>
          <w:sz w:val="36"/>
          <w:szCs w:val="36"/>
          <w:lang w:val="en-US" w:eastAsia="id-ID"/>
        </w:rPr>
        <w:t>GAMBARAN UMUM DAN KONDISI WILAYAH</w:t>
      </w:r>
    </w:p>
    <w:p>
      <w:pPr>
        <w:jc w:val="both"/>
        <w:rPr>
          <w:rFonts w:cstheme="minorHAnsi"/>
          <w:spacing w:val="-6"/>
          <w:szCs w:val="24"/>
          <w:lang w:val="en-US"/>
        </w:rPr>
      </w:pPr>
      <w:r>
        <w:rPr>
          <w:rFonts w:cstheme="minorHAnsi"/>
          <w:spacing w:val="-6"/>
          <w:szCs w:val="24"/>
          <w:lang w:val="en-US"/>
        </w:rPr>
        <w:br w:type="page"/>
      </w:r>
    </w:p>
    <w:p>
      <w:pPr>
        <w:jc w:val="both"/>
        <w:rPr>
          <w:rFonts w:cstheme="minorHAnsi"/>
          <w:spacing w:val="-6"/>
          <w:szCs w:val="24"/>
          <w:lang w:val="en-US"/>
        </w:rPr>
      </w:pPr>
      <w:r>
        <w:rPr>
          <w:noProof/>
          <w:lang w:val="en-ID" w:eastAsia="en-ID"/>
        </w:rPr>
        <w:lastRenderedPageBreak/>
        <mc:AlternateContent>
          <mc:Choice Requires="wps">
            <w:drawing>
              <wp:anchor distT="0" distB="0" distL="114300" distR="114300" simplePos="0" relativeHeight="251660800" behindDoc="0" locked="0" layoutInCell="1" allowOverlap="1">
                <wp:simplePos x="0" y="0"/>
                <wp:positionH relativeFrom="column">
                  <wp:posOffset>-900430</wp:posOffset>
                </wp:positionH>
                <wp:positionV relativeFrom="paragraph">
                  <wp:posOffset>-900430</wp:posOffset>
                </wp:positionV>
                <wp:extent cx="6606540" cy="9273540"/>
                <wp:effectExtent l="0" t="0" r="3810" b="381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9273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4F906" id="Rectangle 44" o:spid="_x0000_s1026" style="position:absolute;margin-left:-70.9pt;margin-top:-70.9pt;width:520.2pt;height:73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" fillcolor="white [3212]" strokecolor="white [3212]" strokeweight="2pt">
                <v:path arrowok="t"/>
              </v:rect>
            </w:pict>
          </mc:Fallback>
        </mc:AlternateContent>
      </w:r>
      <w:r>
        <w:rPr>
          <w:rFonts w:cstheme="minorHAnsi"/>
          <w:spacing w:val="-6"/>
          <w:szCs w:val="24"/>
          <w:lang w:val="en-US"/>
        </w:rPr>
        <w:br w:type="page"/>
      </w:r>
    </w:p>
    <w:p>
      <w:pPr>
        <w:pStyle w:val="Heading1"/>
        <w:spacing w:after="0"/>
        <w:rPr>
          <w:rFonts w:asciiTheme="minorHAnsi" w:hAnsiTheme="minorHAnsi" w:cstheme="minorHAnsi"/>
          <w:noProof/>
          <w:sz w:val="32"/>
          <w:lang w:val="en-US" w:eastAsia="id-ID"/>
        </w:rPr>
      </w:pPr>
      <w:bookmarkStart w:id="10" w:name="_Toc118715970"/>
      <w:r>
        <w:rPr>
          <w:rFonts w:asciiTheme="minorHAnsi" w:hAnsiTheme="minorHAnsi" w:cstheme="minorHAnsi"/>
          <w:noProof/>
          <w:sz w:val="32"/>
          <w:lang w:val="en-US" w:eastAsia="id-ID"/>
        </w:rPr>
        <w:lastRenderedPageBreak/>
        <w:t>BAB II</w:t>
      </w:r>
      <w:bookmarkEnd w:id="10"/>
    </w:p>
    <w:p>
      <w:pPr>
        <w:pStyle w:val="Title"/>
        <w:rPr>
          <w:noProof/>
          <w:sz w:val="32"/>
          <w:szCs w:val="32"/>
          <w:lang w:eastAsia="id-ID"/>
        </w:rPr>
      </w:pPr>
      <w:r>
        <w:rPr>
          <w:noProof/>
          <w:sz w:val="32"/>
          <w:szCs w:val="32"/>
          <w:lang w:eastAsia="id-ID"/>
        </w:rPr>
        <w:t>GAMBARAN UMUM DAN KONDISI WILAYAH</w:t>
      </w:r>
    </w:p>
    <w:p>
      <w:pPr>
        <w:pStyle w:val="Title"/>
        <w:rPr>
          <w:noProof/>
          <w:sz w:val="20"/>
          <w:lang w:eastAsia="id-ID"/>
        </w:rPr>
      </w:pPr>
    </w:p>
    <w:p>
      <w:pPr>
        <w:pStyle w:val="Heading2"/>
        <w:numPr>
          <w:ilvl w:val="1"/>
          <w:numId w:val="16"/>
        </w:numPr>
        <w:ind w:left="567" w:hanging="425"/>
        <w:jc w:val="both"/>
        <w:rPr>
          <w:rFonts w:asciiTheme="minorHAnsi" w:hAnsiTheme="minorHAnsi" w:cstheme="minorHAnsi"/>
          <w:color w:val="231F20"/>
          <w:sz w:val="20"/>
          <w:szCs w:val="20"/>
        </w:rPr>
      </w:pPr>
      <w:bookmarkStart w:id="11" w:name="_Toc118715971"/>
      <w:r>
        <w:rPr>
          <w:rFonts w:asciiTheme="minorHAnsi" w:hAnsiTheme="minorHAnsi" w:cstheme="minorHAnsi"/>
          <w:sz w:val="20"/>
          <w:szCs w:val="20"/>
          <w:lang w:val="en-US"/>
        </w:rPr>
        <w:t>Keadaan Geografis</w:t>
      </w:r>
      <w:bookmarkEnd w:id="11"/>
    </w:p>
    <w:p>
      <w:pPr>
        <w:spacing w:after="0" w:line="360" w:lineRule="auto"/>
        <w:ind w:left="142" w:firstLine="709"/>
        <w:jc w:val="both"/>
        <w:rPr>
          <w:sz w:val="20"/>
          <w:szCs w:val="20"/>
        </w:rPr>
      </w:pPr>
      <w:r>
        <w:rPr>
          <w:sz w:val="20"/>
          <w:szCs w:val="20"/>
        </w:rPr>
        <w:t>Secara administratif wilayah Provinsi Kalimantan Tengah terbagi menjadi 13 kabupaten dan 1 kota, yaitu Kabupaten Kotawaringin Barat (Kobar), Kotawaringin Timur (Kotim), Kapuas, Barito Selatan (Barsel), Barito Utara (Barut), Sukamara, Lamandau, Seruyan, Katingan, Pulang Pisau, Gunung Mas, Barito Timur (Bartim), Murung Raya (Mura) dan Kota Palangka Raya. Wilayah Kalimantan Tengah terletak antara 0</w:t>
      </w:r>
      <w:r>
        <w:rPr>
          <w:sz w:val="20"/>
          <w:szCs w:val="20"/>
          <w:vertAlign w:val="superscript"/>
        </w:rPr>
        <w:t>0</w:t>
      </w:r>
      <w:r>
        <w:rPr>
          <w:sz w:val="20"/>
          <w:szCs w:val="20"/>
        </w:rPr>
        <w:t xml:space="preserve"> - 45</w:t>
      </w:r>
      <w:r>
        <w:rPr>
          <w:sz w:val="20"/>
          <w:szCs w:val="20"/>
          <w:vertAlign w:val="superscript"/>
        </w:rPr>
        <w:t>0</w:t>
      </w:r>
      <w:r>
        <w:rPr>
          <w:sz w:val="20"/>
          <w:szCs w:val="20"/>
        </w:rPr>
        <w:t xml:space="preserve"> Lintang Utara dan 3</w:t>
      </w:r>
      <w:r>
        <w:rPr>
          <w:sz w:val="20"/>
          <w:szCs w:val="20"/>
          <w:vertAlign w:val="superscript"/>
        </w:rPr>
        <w:t>0</w:t>
      </w:r>
      <w:r>
        <w:rPr>
          <w:sz w:val="20"/>
          <w:szCs w:val="20"/>
        </w:rPr>
        <w:t xml:space="preserve"> - 30</w:t>
      </w:r>
      <w:r>
        <w:rPr>
          <w:sz w:val="20"/>
          <w:szCs w:val="20"/>
          <w:vertAlign w:val="superscript"/>
        </w:rPr>
        <w:t>0</w:t>
      </w:r>
      <w:r>
        <w:rPr>
          <w:sz w:val="20"/>
          <w:szCs w:val="20"/>
        </w:rPr>
        <w:t xml:space="preserve"> Lintang Selatan, dan antara 111</w:t>
      </w:r>
      <w:r>
        <w:rPr>
          <w:sz w:val="20"/>
          <w:szCs w:val="20"/>
          <w:vertAlign w:val="superscript"/>
        </w:rPr>
        <w:t>0</w:t>
      </w:r>
      <w:r>
        <w:rPr>
          <w:sz w:val="20"/>
          <w:szCs w:val="20"/>
        </w:rPr>
        <w:t xml:space="preserve"> - 116</w:t>
      </w:r>
      <w:r>
        <w:rPr>
          <w:sz w:val="20"/>
          <w:szCs w:val="20"/>
          <w:vertAlign w:val="superscript"/>
        </w:rPr>
        <w:t>0</w:t>
      </w:r>
      <w:r>
        <w:rPr>
          <w:sz w:val="20"/>
          <w:szCs w:val="20"/>
        </w:rPr>
        <w:t xml:space="preserve"> Bujur Timur. Di sebelah utara provinsi ini berbatasan dengan Provinsi Kalimantan Barat dan Kalimantan Timur, di sebelah timur berbatasan dengan Provinsi Kalimantan Timur dan Kalimantan Selatan, di sebelah selatan adalah Laut Jawa, dan di bagian barat berbatasan dengan Provinsi Kalimantan Barat. </w:t>
      </w:r>
    </w:p>
    <w:p>
      <w:pPr>
        <w:spacing w:after="0" w:line="360" w:lineRule="auto"/>
        <w:ind w:left="142" w:firstLine="709"/>
        <w:jc w:val="both"/>
        <w:rPr>
          <w:sz w:val="20"/>
          <w:szCs w:val="20"/>
        </w:rPr>
      </w:pPr>
      <w:r>
        <w:rPr>
          <w:sz w:val="20"/>
          <w:szCs w:val="20"/>
        </w:rPr>
        <w:t>Provinsi Kalimantan Tengah adalah provinsi terluas ketiga setelah Provinsi Papua dan Kalimantan Timur, dengan luas wilayah sekitar 153.564 km</w:t>
      </w:r>
      <w:r>
        <w:rPr>
          <w:sz w:val="20"/>
          <w:szCs w:val="20"/>
          <w:vertAlign w:val="superscript"/>
        </w:rPr>
        <w:t>2</w:t>
      </w:r>
      <w:r>
        <w:rPr>
          <w:sz w:val="20"/>
          <w:szCs w:val="20"/>
        </w:rPr>
        <w:t xml:space="preserve"> atau hampir 1,5 kali luas pulau Jawa. Sebagian besar dari daratan Kalimantan Tengah merupakan hutan belantara 102.727,30 Km</w:t>
      </w:r>
      <w:r>
        <w:rPr>
          <w:sz w:val="20"/>
          <w:szCs w:val="20"/>
          <w:vertAlign w:val="superscript"/>
        </w:rPr>
        <w:t>2</w:t>
      </w:r>
      <w:r>
        <w:rPr>
          <w:sz w:val="20"/>
          <w:szCs w:val="20"/>
        </w:rPr>
        <w:t xml:space="preserve"> (66,90 persen), daerah rawa-rawa 18.636,51 Km</w:t>
      </w:r>
      <w:r>
        <w:rPr>
          <w:sz w:val="20"/>
          <w:szCs w:val="20"/>
          <w:vertAlign w:val="superscript"/>
        </w:rPr>
        <w:t>2</w:t>
      </w:r>
      <w:r>
        <w:rPr>
          <w:sz w:val="20"/>
          <w:szCs w:val="20"/>
        </w:rPr>
        <w:t xml:space="preserve"> (12,14 persen), sungai, danau dan genangan air lainnya 4.694,26 Km</w:t>
      </w:r>
      <w:r>
        <w:rPr>
          <w:sz w:val="20"/>
          <w:szCs w:val="20"/>
          <w:vertAlign w:val="superscript"/>
        </w:rPr>
        <w:t>2</w:t>
      </w:r>
      <w:r>
        <w:rPr>
          <w:sz w:val="20"/>
          <w:szCs w:val="20"/>
        </w:rPr>
        <w:t xml:space="preserve"> (3,06 persen ), serta pertanahan lainnya  27.505,93 Km</w:t>
      </w:r>
      <w:r>
        <w:rPr>
          <w:sz w:val="20"/>
          <w:szCs w:val="20"/>
          <w:vertAlign w:val="superscript"/>
        </w:rPr>
        <w:t>2</w:t>
      </w:r>
      <w:r>
        <w:rPr>
          <w:sz w:val="20"/>
          <w:szCs w:val="20"/>
        </w:rPr>
        <w:t xml:space="preserve"> (17,90 persen).</w:t>
      </w:r>
    </w:p>
    <w:p>
      <w:pPr>
        <w:spacing w:line="360" w:lineRule="auto"/>
        <w:ind w:left="142" w:firstLine="425"/>
        <w:jc w:val="both"/>
        <w:rPr>
          <w:sz w:val="20"/>
          <w:szCs w:val="20"/>
        </w:rPr>
      </w:pPr>
      <w:r>
        <w:rPr>
          <w:sz w:val="20"/>
          <w:szCs w:val="20"/>
        </w:rPr>
        <w:t xml:space="preserve">Keadaan topografi wilayah pada umumnya datar dan merupakan dataran rendah dengan ketinggian berkisar antara 0 sampai dengan 150 meter dari permukaan laut. Di wilayah utara terdapat daerah perbukitan dan </w:t>
      </w:r>
      <w:r>
        <w:rPr>
          <w:sz w:val="20"/>
          <w:szCs w:val="20"/>
        </w:rPr>
        <w:lastRenderedPageBreak/>
        <w:t>pegunungan Muller-Schwanner dengan puncak tertinggi, yaitu Bukit Raya, dengan ketinggian 2.278 meter dari permukaan laut. Bagian sebelah selatan, umumnya merupakan daerah rawa-rawa pasang surut dengan kegiatan utama penduduk di bidang pertanian tanaman pangan dan perikanan. Bagian tengah merupakan hutan produksi yang sebagian besar pemilik Hak Pengusahaan Hutan (HPH) melakukan kegiatan produksi.</w:t>
      </w:r>
    </w:p>
    <w:p>
      <w:pPr>
        <w:spacing w:line="360" w:lineRule="auto"/>
        <w:ind w:left="142" w:firstLine="709"/>
        <w:jc w:val="both"/>
        <w:rPr>
          <w:sz w:val="20"/>
          <w:szCs w:val="20"/>
        </w:rPr>
      </w:pPr>
      <w:r>
        <w:rPr>
          <w:sz w:val="20"/>
          <w:szCs w:val="20"/>
        </w:rPr>
        <w:t>Provinsi Kalimantan Tengah termasuk daerah beriklim tropis yang lembab dengan curah hujan rata-rata mencapai 2.300 mm per tahun. Hampir seluruh wilayah Provinsi Kalimantan Tengah dialiri sungai-sungai besar (terdapat 11 sungai besar) dan kecil (sekitar 33 sungai kecil). Sebagian besar sungai mengalir dari utara ke selatan. Sungai-sungai tersebut, seperti Sungai Barito, Mentaya, Arut, Katingan, Kahayan dan Kapuas berfungsi sebagai prasarana transportasi yang vital  bagi penduduk.</w:t>
      </w:r>
    </w:p>
    <w:p>
      <w:pPr>
        <w:pStyle w:val="Heading2"/>
        <w:numPr>
          <w:ilvl w:val="1"/>
          <w:numId w:val="16"/>
        </w:numPr>
        <w:ind w:left="567" w:hanging="425"/>
        <w:jc w:val="both"/>
        <w:rPr>
          <w:rFonts w:asciiTheme="minorHAnsi" w:hAnsiTheme="minorHAnsi" w:cstheme="minorHAnsi"/>
          <w:sz w:val="20"/>
          <w:szCs w:val="20"/>
          <w:lang w:val="en-ID"/>
        </w:rPr>
      </w:pPr>
      <w:bookmarkStart w:id="12" w:name="_Toc118715972"/>
      <w:r>
        <w:rPr>
          <w:rFonts w:asciiTheme="minorHAnsi" w:hAnsiTheme="minorHAnsi" w:cstheme="minorHAnsi"/>
          <w:sz w:val="20"/>
          <w:szCs w:val="20"/>
          <w:lang w:val="en-ID"/>
        </w:rPr>
        <w:t>Perekonomian Daerah</w:t>
      </w:r>
      <w:bookmarkEnd w:id="12"/>
    </w:p>
    <w:p>
      <w:pPr>
        <w:spacing w:after="0" w:line="360" w:lineRule="auto"/>
        <w:ind w:left="142" w:firstLine="709"/>
        <w:jc w:val="both"/>
        <w:rPr>
          <w:rFonts w:cs="Tahoma"/>
          <w:sz w:val="20"/>
          <w:szCs w:val="20"/>
          <w:lang w:val="sv-SE"/>
        </w:rPr>
      </w:pPr>
      <w:r>
        <w:rPr>
          <w:rFonts w:cs="Tahoma"/>
          <w:sz w:val="20"/>
          <w:szCs w:val="20"/>
          <w:lang w:val="sv-SE"/>
        </w:rPr>
        <w:t>Produk Domestik Bruto (PDRB) Kalimantan Tengah dari tahun ke tahun selalu mengalami peningkatan. PDRB atas dasar harga berlaku tahun 2021 mencapai 170,0 triliun rupiah. Ini merupakan total nilai tambah bruto (NTB) yang dibentuk oleh seluruh sektor-sektor ekonomi di Kalimantan Tengah. Sedangkan PDRB yang dinilai dengan harga konstan tahun 2010 pada tahun 2021 mencapai 102,3 triliun rupiah.</w:t>
      </w:r>
    </w:p>
    <w:p>
      <w:pPr>
        <w:pStyle w:val="PlainText"/>
        <w:spacing w:line="360" w:lineRule="auto"/>
        <w:ind w:left="142" w:firstLine="709"/>
        <w:jc w:val="both"/>
        <w:rPr>
          <w:rFonts w:asciiTheme="minorHAnsi" w:hAnsiTheme="minorHAnsi" w:cs="Tahoma"/>
          <w:lang w:val="sv-SE"/>
        </w:rPr>
      </w:pPr>
      <w:r>
        <w:rPr>
          <w:rFonts w:asciiTheme="minorHAnsi" w:hAnsiTheme="minorHAnsi" w:cs="Tahoma"/>
          <w:lang w:val="sv-SE"/>
        </w:rPr>
        <w:t>Struktur perekonomian Provinsi Kalimantan Tengah didominasi oleh tiga kategori utama lapangan usaha yaitu: Pertanian, Kehutanan, dan Perikanan diikuti oleh Industri Pengolahan kemudian Perdagangan Besar-</w:t>
      </w:r>
      <w:r>
        <w:rPr>
          <w:rFonts w:asciiTheme="minorHAnsi" w:hAnsiTheme="minorHAnsi" w:cs="Tahoma"/>
          <w:lang w:val="sv-SE"/>
        </w:rPr>
        <w:lastRenderedPageBreak/>
        <w:t>Eceran, Reparasi Mobil dan Sepeda Motor. Ketiga kategori ini memberikan kontribusi sebesar 51,49 persen. Kontribusi Kategori Pertanian, Kehutanan dan Perikanan masih yang terbesar. Sementara itu, kontribusi kategori-kategori lainnya relatif lebih kecil yaitu di bawah 10 persen.</w:t>
      </w:r>
    </w:p>
    <w:p>
      <w:pPr>
        <w:pStyle w:val="Caption"/>
        <w:keepNext/>
        <w:tabs>
          <w:tab w:val="left" w:pos="1276"/>
        </w:tabs>
        <w:ind w:left="1418" w:hanging="1276"/>
        <w:jc w:val="both"/>
        <w:rPr>
          <w:b/>
          <w:bCs/>
          <w:i w:val="0"/>
          <w:iCs w:val="0"/>
          <w:color w:val="auto"/>
          <w:sz w:val="22"/>
          <w:szCs w:val="22"/>
          <w:lang w:val="en-US"/>
        </w:rPr>
      </w:pPr>
      <w:bookmarkStart w:id="13" w:name="_Toc117260775"/>
      <w:r>
        <w:rPr>
          <w:rFonts w:cstheme="minorHAnsi"/>
          <w:b/>
          <w:bCs/>
          <w:i w:val="0"/>
          <w:iCs w:val="0"/>
          <w:color w:val="auto"/>
          <w:sz w:val="22"/>
          <w:szCs w:val="22"/>
        </w:rPr>
        <w:t xml:space="preserve">Gambar 2. </w:t>
      </w:r>
      <w:r>
        <w:rPr>
          <w:rFonts w:cstheme="minorHAnsi"/>
          <w:b/>
          <w:bCs/>
          <w:i w:val="0"/>
          <w:iCs w:val="0"/>
          <w:color w:val="auto"/>
          <w:sz w:val="22"/>
          <w:szCs w:val="22"/>
        </w:rPr>
        <w:fldChar w:fldCharType="begin"/>
      </w:r>
      <w:r>
        <w:rPr>
          <w:rFonts w:cstheme="minorHAnsi"/>
          <w:b/>
          <w:bCs/>
          <w:i w:val="0"/>
          <w:iCs w:val="0"/>
          <w:color w:val="auto"/>
          <w:sz w:val="22"/>
          <w:szCs w:val="22"/>
        </w:rPr>
        <w:instrText xml:space="preserve"> SEQ Gambar_2. \* ARABIC </w:instrText>
      </w:r>
      <w:r>
        <w:rPr>
          <w:rFonts w:cstheme="minorHAnsi"/>
          <w:b/>
          <w:bCs/>
          <w:i w:val="0"/>
          <w:iCs w:val="0"/>
          <w:color w:val="auto"/>
          <w:sz w:val="22"/>
          <w:szCs w:val="22"/>
        </w:rPr>
        <w:fldChar w:fldCharType="separate"/>
      </w:r>
      <w:r>
        <w:rPr>
          <w:rFonts w:cstheme="minorHAnsi"/>
          <w:b/>
          <w:bCs/>
          <w:i w:val="0"/>
          <w:iCs w:val="0"/>
          <w:noProof/>
          <w:color w:val="auto"/>
          <w:sz w:val="22"/>
          <w:szCs w:val="22"/>
        </w:rPr>
        <w:t>1</w:t>
      </w:r>
      <w:r>
        <w:rPr>
          <w:rFonts w:cstheme="minorHAnsi"/>
          <w:b/>
          <w:bCs/>
          <w:i w:val="0"/>
          <w:iCs w:val="0"/>
          <w:color w:val="auto"/>
          <w:sz w:val="22"/>
          <w:szCs w:val="22"/>
        </w:rPr>
        <w:fldChar w:fldCharType="end"/>
      </w:r>
      <w:r>
        <w:rPr>
          <w:rFonts w:cstheme="minorHAnsi"/>
          <w:b/>
          <w:bCs/>
          <w:i w:val="0"/>
          <w:iCs w:val="0"/>
          <w:color w:val="auto"/>
          <w:sz w:val="22"/>
          <w:szCs w:val="22"/>
          <w:lang w:val="en-US"/>
        </w:rPr>
        <w:t xml:space="preserve"> </w:t>
      </w:r>
      <w:r>
        <w:rPr>
          <w:rFonts w:cstheme="minorHAnsi"/>
          <w:b/>
          <w:bCs/>
          <w:i w:val="0"/>
          <w:iCs w:val="0"/>
          <w:color w:val="auto"/>
          <w:sz w:val="22"/>
          <w:szCs w:val="22"/>
          <w:lang w:val="en-US"/>
        </w:rPr>
        <w:tab/>
      </w:r>
      <w:r>
        <w:rPr>
          <w:b/>
          <w:bCs/>
          <w:i w:val="0"/>
          <w:iCs w:val="0"/>
          <w:color w:val="auto"/>
          <w:sz w:val="22"/>
          <w:szCs w:val="22"/>
        </w:rPr>
        <w:t xml:space="preserve">Produk Domestik Regional Bruto (PDRB), </w:t>
      </w:r>
      <w:bookmarkStart w:id="14" w:name="_Toc320707831"/>
      <w:bookmarkStart w:id="15" w:name="_Toc320709524"/>
      <w:r>
        <w:rPr>
          <w:b/>
          <w:bCs/>
          <w:i w:val="0"/>
          <w:iCs w:val="0"/>
          <w:color w:val="auto"/>
          <w:sz w:val="22"/>
          <w:szCs w:val="22"/>
        </w:rPr>
        <w:t xml:space="preserve"> 2021 (triliun rupiah)</w:t>
      </w:r>
      <w:bookmarkEnd w:id="13"/>
      <w:bookmarkEnd w:id="14"/>
      <w:bookmarkEnd w:id="15"/>
    </w:p>
    <w:p>
      <w:pPr>
        <w:jc w:val="both"/>
        <w:rPr>
          <w:lang w:val="sv-SE"/>
        </w:rPr>
      </w:pPr>
      <w:r>
        <w:rPr>
          <w:noProof/>
          <w:shd w:val="clear" w:color="auto" w:fill="FFFFFF" w:themeFill="background1"/>
          <w:lang w:val="en-ID" w:eastAsia="en-ID"/>
        </w:rPr>
        <w:drawing>
          <wp:inline distT="0" distB="0" distL="0" distR="0">
            <wp:extent cx="3804853" cy="1708484"/>
            <wp:effectExtent l="0" t="0" r="0" b="0"/>
            <wp:docPr id="124" name="Chart 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C03645-293F-0FC7-2EB8-BEC68F2D1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rPr>
          <w:i/>
          <w:sz w:val="20"/>
          <w:szCs w:val="18"/>
        </w:rPr>
      </w:pPr>
      <w:bookmarkStart w:id="16" w:name="_Toc117257008"/>
      <w:bookmarkStart w:id="17" w:name="_Hlk117255268"/>
      <w:r>
        <w:rPr>
          <w:rFonts w:cs="Tahoma"/>
          <w:i/>
          <w:color w:val="000000"/>
          <w:sz w:val="20"/>
          <w:szCs w:val="18"/>
        </w:rPr>
        <w:t>Sumber : BPS, Berita Resmi Statistik Pertumbuhan Ekonomi 2022</w:t>
      </w:r>
    </w:p>
    <w:p/>
    <w:p/>
    <w:p/>
    <w:p/>
    <w:p/>
    <w:p/>
    <w:p>
      <w:pPr>
        <w:pStyle w:val="Caption"/>
        <w:tabs>
          <w:tab w:val="left" w:pos="1418"/>
        </w:tabs>
        <w:spacing w:before="240"/>
        <w:ind w:left="1418" w:hanging="1134"/>
        <w:jc w:val="both"/>
        <w:rPr>
          <w:b/>
          <w:bCs/>
          <w:i w:val="0"/>
          <w:iCs w:val="0"/>
          <w:color w:val="auto"/>
          <w:sz w:val="22"/>
          <w:szCs w:val="22"/>
        </w:rPr>
      </w:pPr>
      <w:bookmarkStart w:id="18" w:name="_Toc117260657"/>
      <w:r>
        <w:rPr>
          <w:b/>
          <w:bCs/>
          <w:i w:val="0"/>
          <w:iCs w:val="0"/>
          <w:color w:val="auto"/>
          <w:sz w:val="22"/>
          <w:szCs w:val="22"/>
        </w:rPr>
        <w:lastRenderedPageBreak/>
        <w:t xml:space="preserve">Tabel 2. </w:t>
      </w:r>
      <w:r>
        <w:rPr>
          <w:b/>
          <w:bCs/>
          <w:i w:val="0"/>
          <w:iCs w:val="0"/>
          <w:color w:val="auto"/>
          <w:sz w:val="22"/>
          <w:szCs w:val="22"/>
        </w:rPr>
        <w:fldChar w:fldCharType="begin"/>
      </w:r>
      <w:r>
        <w:rPr>
          <w:b/>
          <w:bCs/>
          <w:i w:val="0"/>
          <w:iCs w:val="0"/>
          <w:color w:val="auto"/>
          <w:sz w:val="22"/>
          <w:szCs w:val="22"/>
        </w:rPr>
        <w:instrText xml:space="preserve"> SEQ Tabel_2. \* ARABIC </w:instrText>
      </w:r>
      <w:r>
        <w:rPr>
          <w:b/>
          <w:bCs/>
          <w:i w:val="0"/>
          <w:iCs w:val="0"/>
          <w:color w:val="auto"/>
          <w:sz w:val="22"/>
          <w:szCs w:val="22"/>
        </w:rPr>
        <w:fldChar w:fldCharType="separate"/>
      </w:r>
      <w:r>
        <w:rPr>
          <w:b/>
          <w:bCs/>
          <w:i w:val="0"/>
          <w:iCs w:val="0"/>
          <w:noProof/>
          <w:color w:val="auto"/>
          <w:sz w:val="22"/>
          <w:szCs w:val="22"/>
        </w:rPr>
        <w:t>1</w:t>
      </w:r>
      <w:r>
        <w:rPr>
          <w:b/>
          <w:bCs/>
          <w:i w:val="0"/>
          <w:iCs w:val="0"/>
          <w:color w:val="auto"/>
          <w:sz w:val="22"/>
          <w:szCs w:val="22"/>
        </w:rPr>
        <w:fldChar w:fldCharType="end"/>
      </w:r>
      <w:r>
        <w:rPr>
          <w:rFonts w:cs="Tahoma"/>
          <w:b/>
          <w:bCs/>
          <w:i w:val="0"/>
          <w:iCs w:val="0"/>
          <w:color w:val="auto"/>
          <w:sz w:val="22"/>
          <w:szCs w:val="22"/>
        </w:rPr>
        <w:tab/>
        <w:t>Distribusi PDRB (Atas Dasar Harga Berlaku) Menurut</w:t>
      </w:r>
      <w:bookmarkStart w:id="19" w:name="_Toc117252917"/>
      <w:r>
        <w:rPr>
          <w:rFonts w:cs="Tahoma"/>
          <w:b/>
          <w:bCs/>
          <w:i w:val="0"/>
          <w:iCs w:val="0"/>
          <w:color w:val="auto"/>
          <w:sz w:val="22"/>
          <w:szCs w:val="22"/>
        </w:rPr>
        <w:t xml:space="preserve"> Lapangan Usaha</w:t>
      </w:r>
      <w:bookmarkStart w:id="20" w:name="_Toc320707833"/>
      <w:bookmarkStart w:id="21" w:name="_Toc320709526"/>
      <w:r>
        <w:rPr>
          <w:rFonts w:cs="Tahoma"/>
          <w:b/>
          <w:bCs/>
          <w:i w:val="0"/>
          <w:iCs w:val="0"/>
          <w:color w:val="auto"/>
          <w:sz w:val="22"/>
          <w:szCs w:val="22"/>
          <w:lang w:val="en-US"/>
        </w:rPr>
        <w:t xml:space="preserve"> </w:t>
      </w:r>
      <w:r>
        <w:rPr>
          <w:rFonts w:cs="Tahoma"/>
          <w:b/>
          <w:bCs/>
          <w:i w:val="0"/>
          <w:iCs w:val="0"/>
          <w:color w:val="auto"/>
          <w:sz w:val="22"/>
          <w:szCs w:val="22"/>
        </w:rPr>
        <w:t>Provinsi Kalimantan Tengah Tahun 2021 (persen)</w:t>
      </w:r>
      <w:bookmarkEnd w:id="18"/>
      <w:bookmarkEnd w:id="19"/>
      <w:bookmarkEnd w:id="20"/>
      <w:bookmarkEnd w:id="21"/>
      <w:r>
        <w:rPr>
          <w:rFonts w:cs="Tahoma"/>
          <w:b/>
          <w:bCs/>
          <w:i w:val="0"/>
          <w:iCs w:val="0"/>
          <w:color w:val="auto"/>
          <w:sz w:val="22"/>
          <w:szCs w:val="22"/>
          <w:lang w:val="sv-SE"/>
        </w:rPr>
        <w:t xml:space="preserve"> </w:t>
      </w:r>
      <w:bookmarkEnd w:id="16"/>
      <w:bookmarkEnd w:id="17"/>
    </w:p>
    <w:tbl>
      <w:tblPr>
        <w:tblStyle w:val="ListTable6ColorfulAccent5"/>
        <w:tblW w:w="6050" w:type="dxa"/>
        <w:tblInd w:w="392" w:type="dxa"/>
        <w:tblLook w:val="04A0" w:firstRow="1" w:lastRow="0" w:firstColumn="1" w:lastColumn="0" w:noHBand="0" w:noVBand="1"/>
      </w:tblPr>
      <w:tblGrid>
        <w:gridCol w:w="4632"/>
        <w:gridCol w:w="1418"/>
      </w:tblGrid>
      <w:tr>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color w:val="auto"/>
                <w:lang w:val="sv-SE"/>
              </w:rPr>
            </w:pPr>
            <w:r>
              <w:rPr>
                <w:rFonts w:asciiTheme="minorHAnsi" w:hAnsiTheme="minorHAnsi" w:cs="Tahoma"/>
                <w:color w:val="auto"/>
                <w:lang w:val="sv-SE"/>
              </w:rPr>
              <w:t>Kategori Lapangan Usaha</w:t>
            </w:r>
          </w:p>
        </w:tc>
        <w:tc>
          <w:tcPr>
            <w:tcW w:w="1418" w:type="dxa"/>
            <w:vAlign w:val="center"/>
          </w:tcPr>
          <w:p>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Distribusi PDRB (ADHB)</w:t>
            </w:r>
          </w:p>
        </w:tc>
      </w:tr>
      <w:tr>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Pertanian, Kehutanan dan Perikanan</w:t>
            </w:r>
          </w:p>
        </w:tc>
        <w:tc>
          <w:tcPr>
            <w:tcW w:w="1418" w:type="dxa"/>
            <w:vAlign w:val="center"/>
          </w:tcPr>
          <w:p>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22,42</w:t>
            </w:r>
          </w:p>
        </w:tc>
      </w:tr>
      <w:tr>
        <w:trPr>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Industri Pengolahan</w:t>
            </w:r>
          </w:p>
        </w:tc>
        <w:tc>
          <w:tcPr>
            <w:tcW w:w="1418" w:type="dxa"/>
            <w:vAlign w:val="center"/>
          </w:tcPr>
          <w:p>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16,7</w:t>
            </w:r>
          </w:p>
        </w:tc>
      </w:tr>
      <w:tr>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Perdagangan Besar dan Eceran, Reparasi Mobil dan Sepeda Motor</w:t>
            </w:r>
          </w:p>
        </w:tc>
        <w:tc>
          <w:tcPr>
            <w:tcW w:w="1418" w:type="dxa"/>
            <w:vAlign w:val="center"/>
          </w:tcPr>
          <w:p>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12,37</w:t>
            </w:r>
          </w:p>
        </w:tc>
      </w:tr>
      <w:tr>
        <w:trPr>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Pertambangan dan Penggalian</w:t>
            </w:r>
          </w:p>
        </w:tc>
        <w:tc>
          <w:tcPr>
            <w:tcW w:w="1418" w:type="dxa"/>
            <w:vAlign w:val="center"/>
          </w:tcPr>
          <w:p>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10,06</w:t>
            </w:r>
          </w:p>
        </w:tc>
      </w:tr>
      <w:tr>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Konstruksi</w:t>
            </w:r>
          </w:p>
        </w:tc>
        <w:tc>
          <w:tcPr>
            <w:tcW w:w="1418" w:type="dxa"/>
            <w:vAlign w:val="center"/>
          </w:tcPr>
          <w:p>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8,96</w:t>
            </w:r>
          </w:p>
        </w:tc>
      </w:tr>
      <w:tr>
        <w:trPr>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Transportasi dan Pergudangan</w:t>
            </w:r>
          </w:p>
        </w:tc>
        <w:tc>
          <w:tcPr>
            <w:tcW w:w="1418" w:type="dxa"/>
            <w:vAlign w:val="center"/>
          </w:tcPr>
          <w:p>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6,64</w:t>
            </w:r>
          </w:p>
        </w:tc>
      </w:tr>
      <w:tr>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Administrasi Pemerintahan, Pertahanan dan Jaminan Sosial Wajib</w:t>
            </w:r>
          </w:p>
        </w:tc>
        <w:tc>
          <w:tcPr>
            <w:tcW w:w="1418" w:type="dxa"/>
            <w:vAlign w:val="center"/>
          </w:tcPr>
          <w:p>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6,04</w:t>
            </w:r>
          </w:p>
        </w:tc>
      </w:tr>
      <w:tr>
        <w:trPr>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Jasa Pendidikan</w:t>
            </w:r>
          </w:p>
        </w:tc>
        <w:tc>
          <w:tcPr>
            <w:tcW w:w="1418" w:type="dxa"/>
            <w:vAlign w:val="center"/>
          </w:tcPr>
          <w:p>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4,79</w:t>
            </w:r>
          </w:p>
        </w:tc>
      </w:tr>
      <w:tr>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Jasa Keuangan dan Asuransi</w:t>
            </w:r>
          </w:p>
        </w:tc>
        <w:tc>
          <w:tcPr>
            <w:tcW w:w="1418" w:type="dxa"/>
            <w:vAlign w:val="center"/>
          </w:tcPr>
          <w:p>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3,43</w:t>
            </w:r>
          </w:p>
        </w:tc>
      </w:tr>
      <w:tr>
        <w:trPr>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Jasa Kesehatan dan Kegiatan Sosial</w:t>
            </w:r>
          </w:p>
        </w:tc>
        <w:tc>
          <w:tcPr>
            <w:tcW w:w="1418" w:type="dxa"/>
            <w:vAlign w:val="center"/>
          </w:tcPr>
          <w:p>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2,39</w:t>
            </w:r>
          </w:p>
        </w:tc>
      </w:tr>
      <w:tr>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Real Estat</w:t>
            </w:r>
          </w:p>
        </w:tc>
        <w:tc>
          <w:tcPr>
            <w:tcW w:w="1418" w:type="dxa"/>
            <w:vAlign w:val="center"/>
          </w:tcPr>
          <w:p>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2,12</w:t>
            </w:r>
          </w:p>
        </w:tc>
      </w:tr>
      <w:tr>
        <w:trPr>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Penyediaan Akomodasi dan Makan Minum</w:t>
            </w:r>
          </w:p>
        </w:tc>
        <w:tc>
          <w:tcPr>
            <w:tcW w:w="1418" w:type="dxa"/>
            <w:vAlign w:val="center"/>
          </w:tcPr>
          <w:p>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1,75</w:t>
            </w:r>
          </w:p>
        </w:tc>
      </w:tr>
      <w:tr>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Informasi dan Komunikasi</w:t>
            </w:r>
          </w:p>
        </w:tc>
        <w:tc>
          <w:tcPr>
            <w:tcW w:w="1418" w:type="dxa"/>
            <w:vAlign w:val="center"/>
          </w:tcPr>
          <w:p>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1,17</w:t>
            </w:r>
          </w:p>
        </w:tc>
      </w:tr>
      <w:tr>
        <w:trPr>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Jasa Lainnya</w:t>
            </w:r>
          </w:p>
        </w:tc>
        <w:tc>
          <w:tcPr>
            <w:tcW w:w="1418" w:type="dxa"/>
            <w:vAlign w:val="center"/>
          </w:tcPr>
          <w:p>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0,94</w:t>
            </w:r>
          </w:p>
        </w:tc>
      </w:tr>
      <w:tr>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Pengadaan Air, Pengelolaan Sampah, Limbah dan Daur Ulang</w:t>
            </w:r>
          </w:p>
        </w:tc>
        <w:tc>
          <w:tcPr>
            <w:tcW w:w="1418" w:type="dxa"/>
            <w:vAlign w:val="center"/>
          </w:tcPr>
          <w:p>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0,1</w:t>
            </w:r>
          </w:p>
        </w:tc>
      </w:tr>
      <w:tr>
        <w:trPr>
          <w:trHeight w:val="258"/>
        </w:trPr>
        <w:tc>
          <w:tcPr>
            <w:cnfStyle w:val="001000000000" w:firstRow="0" w:lastRow="0" w:firstColumn="1" w:lastColumn="0" w:oddVBand="0" w:evenVBand="0" w:oddHBand="0" w:evenHBand="0" w:firstRowFirstColumn="0" w:firstRowLastColumn="0" w:lastRowFirstColumn="0" w:lastRowLastColumn="0"/>
            <w:tcW w:w="4632" w:type="dxa"/>
            <w:vAlign w:val="center"/>
          </w:tcPr>
          <w:p>
            <w:pPr>
              <w:jc w:val="both"/>
              <w:rPr>
                <w:rFonts w:asciiTheme="minorHAnsi" w:hAnsiTheme="minorHAnsi" w:cs="Tahoma"/>
                <w:b w:val="0"/>
                <w:bCs w:val="0"/>
                <w:color w:val="auto"/>
                <w:lang w:val="sv-SE"/>
              </w:rPr>
            </w:pPr>
            <w:r>
              <w:rPr>
                <w:rFonts w:asciiTheme="minorHAnsi" w:hAnsiTheme="minorHAnsi" w:cs="Tahoma"/>
                <w:b w:val="0"/>
                <w:bCs w:val="0"/>
                <w:color w:val="auto"/>
                <w:lang w:val="sv-SE"/>
              </w:rPr>
              <w:t>Pengadaan Listrik dan Gas</w:t>
            </w:r>
          </w:p>
        </w:tc>
        <w:tc>
          <w:tcPr>
            <w:tcW w:w="1418" w:type="dxa"/>
            <w:vAlign w:val="center"/>
          </w:tcPr>
          <w:p>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auto"/>
                <w:lang w:val="sv-SE"/>
              </w:rPr>
            </w:pPr>
            <w:r>
              <w:rPr>
                <w:rFonts w:asciiTheme="minorHAnsi" w:hAnsiTheme="minorHAnsi" w:cs="Tahoma"/>
                <w:color w:val="auto"/>
                <w:lang w:val="sv-SE"/>
              </w:rPr>
              <w:t>0,1</w:t>
            </w:r>
          </w:p>
        </w:tc>
      </w:tr>
    </w:tbl>
    <w:p>
      <w:pPr>
        <w:pStyle w:val="BodyText"/>
        <w:widowControl w:val="0"/>
        <w:spacing w:after="0"/>
        <w:ind w:left="1170" w:right="55" w:hanging="1170"/>
        <w:jc w:val="both"/>
        <w:rPr>
          <w:rFonts w:asciiTheme="minorHAnsi" w:hAnsiTheme="minorHAnsi" w:cstheme="minorHAnsi"/>
          <w:b/>
          <w:bCs/>
          <w:sz w:val="22"/>
          <w:szCs w:val="22"/>
          <w:lang w:val="en-ID"/>
        </w:rPr>
      </w:pPr>
      <w:r>
        <w:rPr>
          <w:noProof/>
          <w:lang w:val="en-ID" w:eastAsia="en-ID"/>
        </w:rPr>
        <mc:AlternateContent>
          <mc:Choice Requires="wps">
            <w:drawing>
              <wp:anchor distT="0" distB="0" distL="114300" distR="114300" simplePos="0" relativeHeight="251683328" behindDoc="0" locked="0" layoutInCell="1" allowOverlap="1">
                <wp:simplePos x="0" y="0"/>
                <wp:positionH relativeFrom="margin">
                  <wp:align>left</wp:align>
                </wp:positionH>
                <wp:positionV relativeFrom="paragraph">
                  <wp:posOffset>67945</wp:posOffset>
                </wp:positionV>
                <wp:extent cx="4042410" cy="26416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264160"/>
                        </a:xfrm>
                        <a:prstGeom prst="rect">
                          <a:avLst/>
                        </a:prstGeom>
                        <a:noFill/>
                        <a:ln>
                          <a:noFill/>
                        </a:ln>
                      </wps:spPr>
                      <wps:txbx>
                        <w:txbxContent>
                          <w:p>
                            <w:pPr>
                              <w:ind w:left="284" w:hanging="142"/>
                              <w:rPr>
                                <w:i/>
                                <w:sz w:val="20"/>
                                <w:szCs w:val="18"/>
                              </w:rPr>
                            </w:pPr>
                            <w:r>
                              <w:rPr>
                                <w:rFonts w:cs="Tahoma"/>
                                <w:i/>
                                <w:color w:val="000000"/>
                                <w:sz w:val="20"/>
                                <w:szCs w:val="18"/>
                              </w:rPr>
                              <w:t>Sumber : BPS, Berita Resmi Statistik Pertumbuhan Ekonomi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left:0;text-align:left;margin-left:0;margin-top:5.35pt;width:318.3pt;height:20.8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" filled="f" stroked="f">
                <v:textbox>
                  <w:txbxContent>
                    <w:p>
                      <w:pPr>
                        <w:ind w:left="284" w:hanging="142"/>
                        <w:rPr>
                          <w:i/>
                          <w:sz w:val="20"/>
                          <w:szCs w:val="18"/>
                        </w:rPr>
                      </w:pPr>
                      <w:r>
                        <w:rPr>
                          <w:rFonts w:cs="Tahoma"/>
                          <w:i/>
                          <w:color w:val="000000"/>
                          <w:sz w:val="20"/>
                          <w:szCs w:val="18"/>
                        </w:rPr>
                        <w:t>Sumber : BPS, Berita Resmi Statistik Pertumbuhan Ekonomi 2022</w:t>
                      </w:r>
                    </w:p>
                  </w:txbxContent>
                </v:textbox>
                <w10:wrap anchorx="margin"/>
              </v:shape>
            </w:pict>
          </mc:Fallback>
        </mc:AlternateContent>
      </w:r>
    </w:p>
    <w:p>
      <w:pPr>
        <w:pStyle w:val="BodyText"/>
        <w:widowControl w:val="0"/>
        <w:tabs>
          <w:tab w:val="left" w:pos="7088"/>
        </w:tabs>
        <w:spacing w:after="0" w:line="360" w:lineRule="auto"/>
        <w:ind w:right="55"/>
        <w:jc w:val="both"/>
        <w:rPr>
          <w:rFonts w:asciiTheme="minorHAnsi" w:hAnsiTheme="minorHAnsi" w:cstheme="minorHAnsi"/>
          <w:sz w:val="22"/>
          <w:szCs w:val="24"/>
          <w:lang w:val="en-US"/>
        </w:rPr>
      </w:pPr>
    </w:p>
    <w:p>
      <w:pPr>
        <w:pStyle w:val="PlainText"/>
        <w:spacing w:after="240" w:line="360" w:lineRule="auto"/>
        <w:ind w:left="284" w:firstLine="567"/>
        <w:jc w:val="both"/>
        <w:rPr>
          <w:rFonts w:asciiTheme="minorHAnsi" w:hAnsiTheme="minorHAnsi" w:cs="Tahoma"/>
          <w:sz w:val="22"/>
          <w:szCs w:val="22"/>
          <w:lang w:val="sv-SE"/>
        </w:rPr>
      </w:pPr>
      <w:r>
        <w:rPr>
          <w:rFonts w:asciiTheme="minorHAnsi" w:hAnsiTheme="minorHAnsi" w:cs="Tahoma"/>
          <w:sz w:val="22"/>
          <w:szCs w:val="22"/>
          <w:lang w:val="sv-SE"/>
        </w:rPr>
        <w:t xml:space="preserve">Pertumbuhan ekonomi merupakan sebuah gambaran makro mengenai hasil dari proses pembangunan ekonomi yang dilakukan oleh seluruh </w:t>
      </w:r>
      <w:r>
        <w:rPr>
          <w:rFonts w:asciiTheme="minorHAnsi" w:hAnsiTheme="minorHAnsi" w:cs="Tahoma"/>
          <w:i/>
          <w:sz w:val="22"/>
          <w:szCs w:val="22"/>
          <w:lang w:val="sv-SE"/>
        </w:rPr>
        <w:t xml:space="preserve">stakeholders, </w:t>
      </w:r>
      <w:r>
        <w:rPr>
          <w:rFonts w:asciiTheme="minorHAnsi" w:hAnsiTheme="minorHAnsi" w:cs="Tahoma"/>
          <w:sz w:val="22"/>
          <w:szCs w:val="22"/>
          <w:lang w:val="sv-SE"/>
        </w:rPr>
        <w:t xml:space="preserve">baik pemerintah, dunia usaha maupun masyarakat menuju keadaan yang lebih baik. Pertumbuhan ekonomi juga merupakan suatu gambaran dari peningkatan pendapatan yang </w:t>
      </w:r>
      <w:r>
        <w:rPr>
          <w:rFonts w:asciiTheme="minorHAnsi" w:hAnsiTheme="minorHAnsi" w:cs="Tahoma"/>
          <w:sz w:val="22"/>
          <w:szCs w:val="22"/>
          <w:lang w:val="sv-SE"/>
        </w:rPr>
        <w:lastRenderedPageBreak/>
        <w:t>berakibat pada peningkatan kemakmuran dan taraf hidup. Karena itu pertumbuhan ekonomi yang tinggi dan berkelanjutan serta lebih cepat daripada laju pertumbuhan penduduknya merupakan salah satu indikator keberhasilan pembangunan ekonomi dan peningkatan kesejahteraan masyarakat. Untuk melihat perkembangan pertumbuhan ekonomi tersebut secara riil dari tahun ke tahun tergambar melalui penyajian PDRB atas dasar harga konstan.</w:t>
      </w:r>
      <w:bookmarkStart w:id="22" w:name="_Toc117260776"/>
    </w:p>
    <w:p>
      <w:pPr>
        <w:pStyle w:val="PlainText"/>
        <w:spacing w:after="240" w:line="360" w:lineRule="auto"/>
        <w:ind w:left="1418" w:hanging="1134"/>
        <w:jc w:val="both"/>
        <w:rPr>
          <w:rFonts w:asciiTheme="minorHAnsi" w:hAnsiTheme="minorHAnsi" w:cs="Tahoma"/>
          <w:b/>
        </w:rPr>
      </w:pPr>
      <w:r>
        <w:rPr>
          <w:rFonts w:asciiTheme="minorHAnsi" w:hAnsiTheme="minorHAnsi" w:cstheme="minorHAnsi"/>
          <w:b/>
          <w:bCs/>
          <w:noProof/>
          <w:color w:val="FF0000"/>
          <w:lang w:val="en-ID" w:eastAsia="en-ID"/>
        </w:rPr>
        <w:drawing>
          <wp:anchor distT="0" distB="0" distL="114300" distR="114300" simplePos="0" relativeHeight="251651072" behindDoc="0" locked="0" layoutInCell="1" allowOverlap="1">
            <wp:simplePos x="0" y="0"/>
            <wp:positionH relativeFrom="margin">
              <wp:posOffset>212187</wp:posOffset>
            </wp:positionH>
            <wp:positionV relativeFrom="paragraph">
              <wp:posOffset>711201</wp:posOffset>
            </wp:positionV>
            <wp:extent cx="3666393" cy="2103120"/>
            <wp:effectExtent l="0" t="0" r="0" b="0"/>
            <wp:wrapNone/>
            <wp:docPr id="8199" name="Pictur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03042" cy="2124143"/>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rPr>
        <w:t xml:space="preserve">Gambar 2. </w:t>
      </w:r>
      <w:r>
        <w:rPr>
          <w:rFonts w:asciiTheme="minorHAnsi" w:hAnsiTheme="minorHAnsi" w:cstheme="minorHAnsi"/>
          <w:b/>
          <w:bCs/>
        </w:rPr>
        <w:fldChar w:fldCharType="begin"/>
      </w:r>
      <w:r>
        <w:rPr>
          <w:rFonts w:asciiTheme="minorHAnsi" w:hAnsiTheme="minorHAnsi" w:cstheme="minorHAnsi"/>
          <w:b/>
          <w:bCs/>
        </w:rPr>
        <w:instrText xml:space="preserve"> SEQ Gambar_2. \* ARABIC </w:instrText>
      </w:r>
      <w:r>
        <w:rPr>
          <w:rFonts w:asciiTheme="minorHAnsi" w:hAnsiTheme="minorHAnsi" w:cstheme="minorHAnsi"/>
          <w:b/>
          <w:bCs/>
        </w:rPr>
        <w:fldChar w:fldCharType="separate"/>
      </w:r>
      <w:r>
        <w:rPr>
          <w:rFonts w:asciiTheme="minorHAnsi" w:hAnsiTheme="minorHAnsi" w:cstheme="minorHAnsi"/>
          <w:b/>
          <w:bCs/>
          <w:noProof/>
        </w:rPr>
        <w:t>2</w:t>
      </w:r>
      <w:r>
        <w:rPr>
          <w:rFonts w:asciiTheme="minorHAnsi" w:hAnsiTheme="minorHAnsi" w:cstheme="minorHAnsi"/>
          <w:b/>
          <w:bCs/>
        </w:rPr>
        <w:fldChar w:fldCharType="end"/>
      </w:r>
      <w:r>
        <w:rPr>
          <w:rFonts w:asciiTheme="minorHAnsi" w:hAnsiTheme="minorHAnsi" w:cstheme="minorHAnsi"/>
          <w:b/>
          <w:bCs/>
        </w:rPr>
        <w:tab/>
      </w:r>
      <w:bookmarkStart w:id="23" w:name="_Hlk117256102"/>
      <w:r>
        <w:rPr>
          <w:rFonts w:asciiTheme="minorHAnsi" w:hAnsiTheme="minorHAnsi" w:cstheme="minorHAnsi"/>
          <w:b/>
          <w:bCs/>
        </w:rPr>
        <w:t>Sumber Pertumbuhan Ekonomi Kalimantan Tengah (c to c) Menurut Kategori Lapangan Usaha 2019-2021 (persen</w:t>
      </w:r>
      <w:r>
        <w:rPr>
          <w:rFonts w:asciiTheme="minorHAnsi" w:hAnsiTheme="minorHAnsi" w:cs="Tahoma"/>
          <w:b/>
        </w:rPr>
        <w:t>)</w:t>
      </w:r>
      <w:bookmarkEnd w:id="22"/>
      <w:bookmarkEnd w:id="23"/>
    </w:p>
    <w:p>
      <w:pPr>
        <w:pStyle w:val="PlainText"/>
        <w:spacing w:after="240" w:line="360" w:lineRule="auto"/>
        <w:jc w:val="both"/>
        <w:rPr>
          <w:rFonts w:asciiTheme="minorHAnsi" w:hAnsiTheme="minorHAnsi" w:cs="Tahoma"/>
          <w:b/>
        </w:rPr>
      </w:pPr>
    </w:p>
    <w:p>
      <w:pPr>
        <w:pStyle w:val="PlainText"/>
        <w:spacing w:after="240" w:line="360" w:lineRule="auto"/>
        <w:jc w:val="both"/>
        <w:rPr>
          <w:rFonts w:asciiTheme="minorHAnsi" w:hAnsiTheme="minorHAnsi" w:cs="Tahoma"/>
          <w:b/>
        </w:rPr>
      </w:pPr>
    </w:p>
    <w:p>
      <w:pPr>
        <w:pStyle w:val="PlainText"/>
        <w:spacing w:after="240" w:line="360" w:lineRule="auto"/>
        <w:jc w:val="both"/>
        <w:rPr>
          <w:rFonts w:asciiTheme="minorHAnsi" w:hAnsiTheme="minorHAnsi" w:cs="Tahoma"/>
          <w:b/>
        </w:rPr>
      </w:pPr>
    </w:p>
    <w:p>
      <w:pPr>
        <w:pStyle w:val="PlainText"/>
        <w:spacing w:after="240" w:line="360" w:lineRule="auto"/>
        <w:jc w:val="both"/>
        <w:rPr>
          <w:rFonts w:asciiTheme="minorHAnsi" w:hAnsiTheme="minorHAnsi" w:cs="Tahoma"/>
          <w:sz w:val="22"/>
          <w:szCs w:val="22"/>
          <w:lang w:val="sv-SE"/>
        </w:rPr>
      </w:pPr>
    </w:p>
    <w:p>
      <w:pPr>
        <w:pStyle w:val="Caption"/>
        <w:jc w:val="both"/>
        <w:rPr>
          <w:rFonts w:cs="Tahoma"/>
          <w:color w:val="FF0000"/>
          <w:sz w:val="22"/>
          <w:szCs w:val="22"/>
          <w:lang w:val="en-US"/>
        </w:rPr>
      </w:pPr>
    </w:p>
    <w:p>
      <w:pPr>
        <w:jc w:val="both"/>
        <w:rPr>
          <w:lang w:val="en-US"/>
        </w:rPr>
      </w:pPr>
      <w:r>
        <w:rPr>
          <w:noProof/>
          <w:lang w:val="en-ID" w:eastAsia="en-ID"/>
        </w:rPr>
        <mc:AlternateContent>
          <mc:Choice Requires="wps">
            <w:drawing>
              <wp:anchor distT="0" distB="0" distL="114300" distR="114300" simplePos="0" relativeHeight="251684352" behindDoc="0" locked="0" layoutInCell="1" allowOverlap="1">
                <wp:simplePos x="0" y="0"/>
                <wp:positionH relativeFrom="margin">
                  <wp:posOffset>73660</wp:posOffset>
                </wp:positionH>
                <wp:positionV relativeFrom="paragraph">
                  <wp:posOffset>95250</wp:posOffset>
                </wp:positionV>
                <wp:extent cx="3794125" cy="8763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876300"/>
                        </a:xfrm>
                        <a:prstGeom prst="rect">
                          <a:avLst/>
                        </a:prstGeom>
                        <a:noFill/>
                        <a:ln>
                          <a:noFill/>
                        </a:ln>
                      </wps:spPr>
                      <wps:txbx>
                        <w:txbxContent>
                          <w:p>
                            <w:pPr>
                              <w:spacing w:after="0"/>
                              <w:rPr>
                                <w:rFonts w:cs="Tahoma"/>
                                <w:i/>
                                <w:color w:val="000000"/>
                                <w:sz w:val="18"/>
                                <w:szCs w:val="18"/>
                              </w:rPr>
                            </w:pPr>
                            <w:r>
                              <w:rPr>
                                <w:rFonts w:cs="Tahoma"/>
                                <w:i/>
                                <w:color w:val="000000"/>
                                <w:sz w:val="18"/>
                                <w:szCs w:val="18"/>
                              </w:rPr>
                              <w:t>Catatan</w:t>
                            </w:r>
                            <w:r>
                              <w:rPr>
                                <w:rFonts w:cs="Tahoma"/>
                                <w:i/>
                                <w:color w:val="000000"/>
                                <w:sz w:val="18"/>
                                <w:szCs w:val="18"/>
                              </w:rPr>
                              <w:tab/>
                              <w:t>:</w:t>
                            </w:r>
                          </w:p>
                          <w:p>
                            <w:pPr>
                              <w:spacing w:after="0"/>
                              <w:ind w:left="720" w:hanging="720"/>
                              <w:rPr>
                                <w:rFonts w:cs="Tahoma"/>
                                <w:i/>
                                <w:color w:val="000000"/>
                                <w:sz w:val="18"/>
                                <w:szCs w:val="18"/>
                                <w:lang w:val="en-US"/>
                              </w:rPr>
                            </w:pPr>
                            <w:r>
                              <w:rPr>
                                <w:rFonts w:cs="Tahoma"/>
                                <w:i/>
                                <w:color w:val="000000"/>
                                <w:sz w:val="18"/>
                                <w:szCs w:val="18"/>
                              </w:rPr>
                              <w:t xml:space="preserve">c to c </w:t>
                            </w:r>
                            <w:r>
                              <w:rPr>
                                <w:rFonts w:cs="Tahoma"/>
                                <w:i/>
                                <w:color w:val="000000"/>
                                <w:sz w:val="18"/>
                                <w:szCs w:val="18"/>
                              </w:rPr>
                              <w:tab/>
                              <w:t>:</w:t>
                            </w:r>
                            <w:r>
                              <w:rPr>
                                <w:rFonts w:cs="Tahoma"/>
                                <w:i/>
                                <w:color w:val="000000"/>
                                <w:sz w:val="18"/>
                                <w:szCs w:val="18"/>
                                <w:lang w:val="en-US"/>
                              </w:rPr>
                              <w:t xml:space="preserve"> </w:t>
                            </w:r>
                            <w:r>
                              <w:rPr>
                                <w:rFonts w:cs="Tahoma"/>
                                <w:i/>
                                <w:color w:val="000000"/>
                                <w:sz w:val="18"/>
                                <w:szCs w:val="18"/>
                              </w:rPr>
                              <w:t>PDRB atas dasar harga konstan kumulatif sampai dengan triwulanan dibandingkan periode kumulatif yang sama pada tahun sebelumnya</w:t>
                            </w:r>
                            <w:r>
                              <w:rPr>
                                <w:rFonts w:cs="Tahoma"/>
                                <w:i/>
                                <w:color w:val="000000"/>
                                <w:sz w:val="18"/>
                                <w:szCs w:val="18"/>
                                <w:lang w:val="en-US"/>
                              </w:rPr>
                              <w:t xml:space="preserve"> </w:t>
                            </w:r>
                          </w:p>
                          <w:p>
                            <w:pPr>
                              <w:spacing w:after="0"/>
                              <w:ind w:left="720" w:hanging="720"/>
                              <w:rPr>
                                <w:rFonts w:cs="Tahoma"/>
                                <w:i/>
                                <w:color w:val="000000"/>
                                <w:sz w:val="18"/>
                                <w:szCs w:val="18"/>
                              </w:rPr>
                            </w:pPr>
                            <w:r>
                              <w:rPr>
                                <w:rFonts w:cs="Tahoma"/>
                                <w:i/>
                                <w:color w:val="000000"/>
                                <w:sz w:val="18"/>
                                <w:szCs w:val="18"/>
                              </w:rPr>
                              <w:t xml:space="preserve">Sumber </w:t>
                            </w:r>
                            <w:r>
                              <w:rPr>
                                <w:rFonts w:cs="Tahoma"/>
                                <w:i/>
                                <w:color w:val="000000"/>
                                <w:sz w:val="18"/>
                                <w:szCs w:val="18"/>
                                <w:lang w:val="en-US"/>
                              </w:rPr>
                              <w:t xml:space="preserve"> </w:t>
                            </w:r>
                            <w:r>
                              <w:rPr>
                                <w:rFonts w:cs="Tahoma"/>
                                <w:i/>
                                <w:color w:val="000000"/>
                                <w:sz w:val="18"/>
                                <w:szCs w:val="18"/>
                              </w:rPr>
                              <w:t>: BPS, Berita Resmi Statistik Pertumbuhan Ekonomi Kalimantan</w:t>
                            </w:r>
                            <w:r>
                              <w:rPr>
                                <w:rFonts w:cs="Tahoma"/>
                                <w:i/>
                                <w:color w:val="000000"/>
                                <w:sz w:val="18"/>
                                <w:szCs w:val="18"/>
                                <w:lang w:val="en-US"/>
                              </w:rPr>
                              <w:t xml:space="preserve"> </w:t>
                            </w:r>
                            <w:r>
                              <w:rPr>
                                <w:rFonts w:cs="Tahoma"/>
                                <w:i/>
                                <w:color w:val="000000"/>
                                <w:sz w:val="18"/>
                                <w:szCs w:val="18"/>
                              </w:rPr>
                              <w:t>Tengah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left:0;text-align:left;margin-left:5.8pt;margin-top:7.5pt;width:298.75pt;height:69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" filled="f" stroked="f">
                <v:textbox>
                  <w:txbxContent>
                    <w:p>
                      <w:pPr>
                        <w:spacing w:after="0"/>
                        <w:rPr>
                          <w:rFonts w:cs="Tahoma"/>
                          <w:i/>
                          <w:color w:val="000000"/>
                          <w:sz w:val="18"/>
                          <w:szCs w:val="18"/>
                        </w:rPr>
                      </w:pPr>
                      <w:r>
                        <w:rPr>
                          <w:rFonts w:cs="Tahoma"/>
                          <w:i/>
                          <w:color w:val="000000"/>
                          <w:sz w:val="18"/>
                          <w:szCs w:val="18"/>
                        </w:rPr>
                        <w:t>Catatan</w:t>
                      </w:r>
                      <w:r>
                        <w:rPr>
                          <w:rFonts w:cs="Tahoma"/>
                          <w:i/>
                          <w:color w:val="000000"/>
                          <w:sz w:val="18"/>
                          <w:szCs w:val="18"/>
                        </w:rPr>
                        <w:tab/>
                        <w:t>:</w:t>
                      </w:r>
                    </w:p>
                    <w:p>
                      <w:pPr>
                        <w:spacing w:after="0"/>
                        <w:ind w:left="720" w:hanging="720"/>
                        <w:rPr>
                          <w:rFonts w:cs="Tahoma"/>
                          <w:i/>
                          <w:color w:val="000000"/>
                          <w:sz w:val="18"/>
                          <w:szCs w:val="18"/>
                          <w:lang w:val="en-US"/>
                        </w:rPr>
                      </w:pPr>
                      <w:r>
                        <w:rPr>
                          <w:rFonts w:cs="Tahoma"/>
                          <w:i/>
                          <w:color w:val="000000"/>
                          <w:sz w:val="18"/>
                          <w:szCs w:val="18"/>
                        </w:rPr>
                        <w:t xml:space="preserve">c to c </w:t>
                      </w:r>
                      <w:r>
                        <w:rPr>
                          <w:rFonts w:cs="Tahoma"/>
                          <w:i/>
                          <w:color w:val="000000"/>
                          <w:sz w:val="18"/>
                          <w:szCs w:val="18"/>
                        </w:rPr>
                        <w:tab/>
                        <w:t>:</w:t>
                      </w:r>
                      <w:r>
                        <w:rPr>
                          <w:rFonts w:cs="Tahoma"/>
                          <w:i/>
                          <w:color w:val="000000"/>
                          <w:sz w:val="18"/>
                          <w:szCs w:val="18"/>
                          <w:lang w:val="en-US"/>
                        </w:rPr>
                        <w:t xml:space="preserve"> </w:t>
                      </w:r>
                      <w:r>
                        <w:rPr>
                          <w:rFonts w:cs="Tahoma"/>
                          <w:i/>
                          <w:color w:val="000000"/>
                          <w:sz w:val="18"/>
                          <w:szCs w:val="18"/>
                        </w:rPr>
                        <w:t>PDRB atas dasar harga konstan kumulatif sampai dengan triwulanan dibandingkan periode kumulatif yang sama pada tahun sebelumnya</w:t>
                      </w:r>
                      <w:r>
                        <w:rPr>
                          <w:rFonts w:cs="Tahoma"/>
                          <w:i/>
                          <w:color w:val="000000"/>
                          <w:sz w:val="18"/>
                          <w:szCs w:val="18"/>
                          <w:lang w:val="en-US"/>
                        </w:rPr>
                        <w:t xml:space="preserve"> </w:t>
                      </w:r>
                    </w:p>
                    <w:p>
                      <w:pPr>
                        <w:spacing w:after="0"/>
                        <w:ind w:left="720" w:hanging="720"/>
                        <w:rPr>
                          <w:rFonts w:cs="Tahoma"/>
                          <w:i/>
                          <w:color w:val="000000"/>
                          <w:sz w:val="18"/>
                          <w:szCs w:val="18"/>
                        </w:rPr>
                      </w:pPr>
                      <w:r>
                        <w:rPr>
                          <w:rFonts w:cs="Tahoma"/>
                          <w:i/>
                          <w:color w:val="000000"/>
                          <w:sz w:val="18"/>
                          <w:szCs w:val="18"/>
                        </w:rPr>
                        <w:t xml:space="preserve">Sumber </w:t>
                      </w:r>
                      <w:r>
                        <w:rPr>
                          <w:rFonts w:cs="Tahoma"/>
                          <w:i/>
                          <w:color w:val="000000"/>
                          <w:sz w:val="18"/>
                          <w:szCs w:val="18"/>
                          <w:lang w:val="en-US"/>
                        </w:rPr>
                        <w:t xml:space="preserve"> </w:t>
                      </w:r>
                      <w:r>
                        <w:rPr>
                          <w:rFonts w:cs="Tahoma"/>
                          <w:i/>
                          <w:color w:val="000000"/>
                          <w:sz w:val="18"/>
                          <w:szCs w:val="18"/>
                        </w:rPr>
                        <w:t>: BPS, Berita Resmi Statistik Pertumbuhan Ekonomi Kalimantan</w:t>
                      </w:r>
                      <w:r>
                        <w:rPr>
                          <w:rFonts w:cs="Tahoma"/>
                          <w:i/>
                          <w:color w:val="000000"/>
                          <w:sz w:val="18"/>
                          <w:szCs w:val="18"/>
                          <w:lang w:val="en-US"/>
                        </w:rPr>
                        <w:t xml:space="preserve"> </w:t>
                      </w:r>
                      <w:r>
                        <w:rPr>
                          <w:rFonts w:cs="Tahoma"/>
                          <w:i/>
                          <w:color w:val="000000"/>
                          <w:sz w:val="18"/>
                          <w:szCs w:val="18"/>
                        </w:rPr>
                        <w:t>Tengah 2022</w:t>
                      </w:r>
                    </w:p>
                  </w:txbxContent>
                </v:textbox>
                <w10:wrap anchorx="margin"/>
              </v:shape>
            </w:pict>
          </mc:Fallback>
        </mc:AlternateContent>
      </w:r>
    </w:p>
    <w:p>
      <w:pPr>
        <w:widowControl w:val="0"/>
        <w:tabs>
          <w:tab w:val="left" w:pos="7088"/>
        </w:tabs>
        <w:spacing w:after="0" w:line="360" w:lineRule="auto"/>
        <w:ind w:right="55"/>
        <w:jc w:val="both"/>
        <w:rPr>
          <w:rFonts w:cstheme="minorHAnsi"/>
          <w:szCs w:val="24"/>
        </w:rPr>
      </w:pPr>
    </w:p>
    <w:p>
      <w:pPr>
        <w:widowControl w:val="0"/>
        <w:tabs>
          <w:tab w:val="left" w:pos="7088"/>
        </w:tabs>
        <w:spacing w:after="0" w:line="360" w:lineRule="auto"/>
        <w:ind w:right="55" w:firstLine="851"/>
        <w:jc w:val="both"/>
        <w:rPr>
          <w:rFonts w:cstheme="minorHAnsi"/>
          <w:szCs w:val="24"/>
        </w:rPr>
      </w:pPr>
    </w:p>
    <w:p>
      <w:pPr>
        <w:pStyle w:val="PlainText"/>
        <w:spacing w:line="360" w:lineRule="auto"/>
        <w:ind w:left="284" w:firstLine="567"/>
        <w:jc w:val="both"/>
        <w:rPr>
          <w:rFonts w:asciiTheme="minorHAnsi" w:hAnsiTheme="minorHAnsi"/>
          <w:bCs/>
          <w:iCs/>
        </w:rPr>
      </w:pPr>
    </w:p>
    <w:p>
      <w:pPr>
        <w:pStyle w:val="PlainText"/>
        <w:spacing w:line="360" w:lineRule="auto"/>
        <w:ind w:left="284" w:firstLine="567"/>
        <w:jc w:val="both"/>
        <w:rPr>
          <w:rFonts w:asciiTheme="minorHAnsi" w:hAnsiTheme="minorHAnsi" w:cstheme="minorHAnsi"/>
        </w:rPr>
      </w:pPr>
      <w:r>
        <w:rPr>
          <w:rFonts w:asciiTheme="minorHAnsi" w:hAnsiTheme="minorHAnsi"/>
          <w:bCs/>
          <w:iCs/>
        </w:rPr>
        <w:lastRenderedPageBreak/>
        <w:t>Geliat perekonomian Kalimantan Tengah terus berkembang ke arah lebih baik sejalan dengan semakin membaiknya perekonomian nasional. Hal ini ditunjukkan dengan pertumbuhan ekonomi Kalimantan Tengah secara kumulatif (</w:t>
      </w:r>
      <w:r>
        <w:rPr>
          <w:rFonts w:asciiTheme="minorHAnsi" w:hAnsiTheme="minorHAnsi"/>
          <w:bCs/>
          <w:i/>
        </w:rPr>
        <w:t>c-to-c</w:t>
      </w:r>
      <w:r>
        <w:rPr>
          <w:rFonts w:asciiTheme="minorHAnsi" w:hAnsiTheme="minorHAnsi"/>
          <w:bCs/>
          <w:iCs/>
        </w:rPr>
        <w:t xml:space="preserve">) pada tahun 2021 yang tumbuh sebesar 3,40 persen. </w:t>
      </w:r>
      <w:r>
        <w:rPr>
          <w:rFonts w:asciiTheme="minorHAnsi" w:hAnsiTheme="minorHAnsi" w:cstheme="minorHAnsi"/>
        </w:rPr>
        <w:t>Pada Gambar 2.2 di atas, dari seluruh lapangan usaha, hampir semua lapangan usaha mengalami pertumbuhan positif kecuali kategori Administrasi Pemerintahan, Pertahanan dan Jaminan Sosial Wajib yang mengalami kontraksi. Lapangan usaha yang mengalami pertumbuhan terbesar adalah Informasi dan Komunikasi sebesar 17,34 persen  dan  Jasa Kesehatan dan Kegiatan Sosial sebesar 12,72 persen. Sementara itu, Lapangan Usaha  Pertanian, Kehutanan, dan Perikanan serta Industri Pengolahan yang memiliki peran dominan mengalami pertumbuhan masing-masing sebesar 2,92 dan 4,11 persen. Bila dilihat dari penciptaan sumber pertumbuhan ekonomi Kalimantan Tengah tahun 2021, Konstruksi memberikan andil paling besar (0,65 persen) yang diikuti oleh Industri Pengolahan (0,64 persen) serta Pertanian, Kehutanan dan Perikanan (0,63 persen).</w:t>
      </w:r>
    </w:p>
    <w:p>
      <w:pPr>
        <w:pStyle w:val="PlainText"/>
        <w:spacing w:line="360" w:lineRule="auto"/>
        <w:ind w:left="284" w:firstLine="567"/>
        <w:jc w:val="both"/>
        <w:rPr>
          <w:rFonts w:asciiTheme="minorHAnsi" w:hAnsiTheme="minorHAnsi" w:cstheme="minorHAnsi"/>
        </w:rPr>
      </w:pPr>
      <w:r>
        <w:rPr>
          <w:rFonts w:asciiTheme="minorHAnsi" w:hAnsiTheme="minorHAnsi" w:cstheme="minorHAnsi"/>
        </w:rPr>
        <w:t xml:space="preserve">Kemudian, pada Gambar 2.3 di bawah ini </w:t>
      </w:r>
      <w:r>
        <w:rPr>
          <w:rFonts w:asciiTheme="minorHAnsi" w:hAnsiTheme="minorHAnsi" w:cstheme="minorHAnsi"/>
          <w:lang w:val="id-ID"/>
        </w:rPr>
        <w:t>Ekonomi Kalimantan Tengah triwulan IV-2021 dibanding triwulan IV-2020 (</w:t>
      </w:r>
      <w:r>
        <w:rPr>
          <w:rFonts w:asciiTheme="minorHAnsi" w:hAnsiTheme="minorHAnsi" w:cstheme="minorHAnsi"/>
          <w:i/>
          <w:iCs/>
          <w:lang w:val="id-ID"/>
        </w:rPr>
        <w:t>y-on-y</w:t>
      </w:r>
      <w:r>
        <w:rPr>
          <w:rFonts w:asciiTheme="minorHAnsi" w:hAnsiTheme="minorHAnsi" w:cstheme="minorHAnsi"/>
          <w:lang w:val="id-ID"/>
        </w:rPr>
        <w:t>) mengalami</w:t>
      </w:r>
      <w:r>
        <w:rPr>
          <w:rFonts w:asciiTheme="minorHAnsi" w:hAnsiTheme="minorHAnsi" w:cstheme="minorHAnsi"/>
        </w:rPr>
        <w:t xml:space="preserve"> </w:t>
      </w:r>
      <w:r>
        <w:rPr>
          <w:rFonts w:asciiTheme="minorHAnsi" w:hAnsiTheme="minorHAnsi" w:cstheme="minorHAnsi"/>
          <w:lang w:val="id-ID"/>
        </w:rPr>
        <w:t>pertumbuhan sebesar 7,61 persen. Terdapat tiga lapangan usaha yang mengalami kontraksi.</w:t>
      </w:r>
      <w:r>
        <w:rPr>
          <w:rFonts w:asciiTheme="minorHAnsi" w:hAnsiTheme="minorHAnsi" w:cstheme="minorHAnsi"/>
        </w:rPr>
        <w:t xml:space="preserve"> </w:t>
      </w:r>
      <w:r>
        <w:rPr>
          <w:rFonts w:asciiTheme="minorHAnsi" w:hAnsiTheme="minorHAnsi" w:cstheme="minorHAnsi"/>
          <w:lang w:val="id-ID"/>
        </w:rPr>
        <w:t>Kon</w:t>
      </w:r>
      <w:r>
        <w:rPr>
          <w:rFonts w:asciiTheme="minorHAnsi" w:hAnsiTheme="minorHAnsi" w:cstheme="minorHAnsi"/>
        </w:rPr>
        <w:t>t</w:t>
      </w:r>
      <w:r>
        <w:rPr>
          <w:rFonts w:asciiTheme="minorHAnsi" w:hAnsiTheme="minorHAnsi" w:cstheme="minorHAnsi"/>
          <w:lang w:val="id-ID"/>
        </w:rPr>
        <w:t>raksi terbesar terjadi pada kategori Industri Pengolahan sebesar 8,67 persen. Lapangan</w:t>
      </w:r>
      <w:r>
        <w:rPr>
          <w:rFonts w:asciiTheme="minorHAnsi" w:hAnsiTheme="minorHAnsi" w:cstheme="minorHAnsi"/>
        </w:rPr>
        <w:t xml:space="preserve"> </w:t>
      </w:r>
      <w:r>
        <w:rPr>
          <w:rFonts w:asciiTheme="minorHAnsi" w:hAnsiTheme="minorHAnsi" w:cstheme="minorHAnsi"/>
          <w:lang w:val="id-ID"/>
        </w:rPr>
        <w:t>usaha yang mengalami pertumbuhan terbesar adalah Pertambangan dan Penggalian sebesar</w:t>
      </w:r>
      <w:r>
        <w:rPr>
          <w:rFonts w:asciiTheme="minorHAnsi" w:hAnsiTheme="minorHAnsi" w:cstheme="minorHAnsi"/>
        </w:rPr>
        <w:t xml:space="preserve"> </w:t>
      </w:r>
      <w:r>
        <w:rPr>
          <w:rFonts w:asciiTheme="minorHAnsi" w:hAnsiTheme="minorHAnsi" w:cstheme="minorHAnsi"/>
          <w:lang w:val="id-ID"/>
        </w:rPr>
        <w:t>47,96 persen yang diikuti dengan Konstruksi sebesar 15,93 persen. Bila dilihat dari penciptaan</w:t>
      </w:r>
      <w:r>
        <w:rPr>
          <w:rFonts w:asciiTheme="minorHAnsi" w:hAnsiTheme="minorHAnsi" w:cstheme="minorHAnsi"/>
        </w:rPr>
        <w:t xml:space="preserve"> </w:t>
      </w:r>
      <w:r>
        <w:rPr>
          <w:rFonts w:asciiTheme="minorHAnsi" w:hAnsiTheme="minorHAnsi" w:cstheme="minorHAnsi"/>
          <w:lang w:val="id-ID"/>
        </w:rPr>
        <w:t xml:space="preserve">sumber pertumbuhan ekonomi Kalimantan Tengah triwulan-IV </w:t>
      </w:r>
      <w:r>
        <w:rPr>
          <w:rFonts w:asciiTheme="minorHAnsi" w:hAnsiTheme="minorHAnsi" w:cstheme="minorHAnsi"/>
          <w:lang w:val="id-ID"/>
        </w:rPr>
        <w:lastRenderedPageBreak/>
        <w:t>2021 (</w:t>
      </w:r>
      <w:r>
        <w:rPr>
          <w:rFonts w:asciiTheme="minorHAnsi" w:hAnsiTheme="minorHAnsi" w:cstheme="minorHAnsi"/>
          <w:i/>
          <w:iCs/>
          <w:lang w:val="id-ID"/>
        </w:rPr>
        <w:t>y-on-y</w:t>
      </w:r>
      <w:r>
        <w:rPr>
          <w:rFonts w:asciiTheme="minorHAnsi" w:hAnsiTheme="minorHAnsi" w:cstheme="minorHAnsi"/>
          <w:lang w:val="id-ID"/>
        </w:rPr>
        <w:t>), Kategori</w:t>
      </w:r>
      <w:r>
        <w:rPr>
          <w:rFonts w:asciiTheme="minorHAnsi" w:hAnsiTheme="minorHAnsi" w:cstheme="minorHAnsi"/>
        </w:rPr>
        <w:t xml:space="preserve"> </w:t>
      </w:r>
      <w:r>
        <w:rPr>
          <w:rFonts w:asciiTheme="minorHAnsi" w:hAnsiTheme="minorHAnsi" w:cstheme="minorHAnsi"/>
          <w:lang w:val="id-ID"/>
        </w:rPr>
        <w:t xml:space="preserve">Pertambangan dan Penggalian menjadi sumber pertumbuhan tertinggi </w:t>
      </w:r>
      <w:r>
        <w:rPr>
          <w:rFonts w:asciiTheme="minorHAnsi" w:hAnsiTheme="minorHAnsi" w:cstheme="minorHAnsi"/>
        </w:rPr>
        <w:t xml:space="preserve">dengan proporsi </w:t>
      </w:r>
      <w:r>
        <w:rPr>
          <w:rFonts w:asciiTheme="minorHAnsi" w:hAnsiTheme="minorHAnsi" w:cstheme="minorHAnsi"/>
          <w:lang w:val="id-ID"/>
        </w:rPr>
        <w:t>sebesar 5,18 persen</w:t>
      </w:r>
      <w:r>
        <w:rPr>
          <w:rFonts w:asciiTheme="minorHAnsi" w:hAnsiTheme="minorHAnsi" w:cstheme="minorHAnsi"/>
        </w:rPr>
        <w:t>.</w:t>
      </w:r>
      <w:bookmarkStart w:id="24" w:name="_Toc117260777"/>
    </w:p>
    <w:p>
      <w:pPr>
        <w:pStyle w:val="Caption"/>
        <w:spacing w:line="360" w:lineRule="auto"/>
        <w:ind w:left="1418" w:hanging="1134"/>
        <w:jc w:val="both"/>
        <w:rPr>
          <w:rFonts w:cs="Tahoma"/>
          <w:b/>
          <w:bCs/>
          <w:i w:val="0"/>
          <w:iCs w:val="0"/>
          <w:color w:val="auto"/>
          <w:sz w:val="22"/>
          <w:szCs w:val="22"/>
        </w:rPr>
      </w:pPr>
      <w:r>
        <w:rPr>
          <w:rFonts w:cstheme="minorHAnsi"/>
          <w:noProof/>
          <w:sz w:val="20"/>
          <w:szCs w:val="20"/>
          <w:lang w:val="en-ID" w:eastAsia="en-ID"/>
        </w:rPr>
        <w:drawing>
          <wp:anchor distT="0" distB="0" distL="114300" distR="114300" simplePos="0" relativeHeight="251653120" behindDoc="0" locked="0" layoutInCell="1" allowOverlap="1">
            <wp:simplePos x="0" y="0"/>
            <wp:positionH relativeFrom="margin">
              <wp:posOffset>86047</wp:posOffset>
            </wp:positionH>
            <wp:positionV relativeFrom="paragraph">
              <wp:posOffset>270980</wp:posOffset>
            </wp:positionV>
            <wp:extent cx="3837940" cy="3223044"/>
            <wp:effectExtent l="0" t="0" r="0" b="0"/>
            <wp:wrapNone/>
            <wp:docPr id="8201" name="Picture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37940" cy="3223044"/>
                    </a:xfrm>
                    <a:prstGeom prst="rect">
                      <a:avLst/>
                    </a:prstGeom>
                  </pic:spPr>
                </pic:pic>
              </a:graphicData>
            </a:graphic>
            <wp14:sizeRelH relativeFrom="page">
              <wp14:pctWidth>0</wp14:pctWidth>
            </wp14:sizeRelH>
            <wp14:sizeRelV relativeFrom="page">
              <wp14:pctHeight>0</wp14:pctHeight>
            </wp14:sizeRelV>
          </wp:anchor>
        </w:drawing>
      </w:r>
      <w:r>
        <w:rPr>
          <w:b/>
          <w:bCs/>
          <w:i w:val="0"/>
          <w:iCs w:val="0"/>
          <w:color w:val="auto"/>
          <w:sz w:val="20"/>
          <w:szCs w:val="20"/>
        </w:rPr>
        <w:t xml:space="preserve">Gambar 2. </w:t>
      </w:r>
      <w:r>
        <w:rPr>
          <w:b/>
          <w:bCs/>
          <w:i w:val="0"/>
          <w:iCs w:val="0"/>
          <w:color w:val="auto"/>
          <w:sz w:val="20"/>
          <w:szCs w:val="20"/>
        </w:rPr>
        <w:fldChar w:fldCharType="begin"/>
      </w:r>
      <w:r>
        <w:rPr>
          <w:b/>
          <w:bCs/>
          <w:i w:val="0"/>
          <w:iCs w:val="0"/>
          <w:color w:val="auto"/>
          <w:sz w:val="20"/>
          <w:szCs w:val="20"/>
        </w:rPr>
        <w:instrText xml:space="preserve"> SEQ Gambar_2. \* ARABIC </w:instrText>
      </w:r>
      <w:r>
        <w:rPr>
          <w:b/>
          <w:bCs/>
          <w:i w:val="0"/>
          <w:iCs w:val="0"/>
          <w:color w:val="auto"/>
          <w:sz w:val="20"/>
          <w:szCs w:val="20"/>
        </w:rPr>
        <w:fldChar w:fldCharType="separate"/>
      </w:r>
      <w:r>
        <w:rPr>
          <w:b/>
          <w:bCs/>
          <w:i w:val="0"/>
          <w:iCs w:val="0"/>
          <w:noProof/>
          <w:color w:val="auto"/>
          <w:sz w:val="20"/>
          <w:szCs w:val="20"/>
        </w:rPr>
        <w:t>3</w:t>
      </w:r>
      <w:r>
        <w:rPr>
          <w:b/>
          <w:bCs/>
          <w:i w:val="0"/>
          <w:iCs w:val="0"/>
          <w:color w:val="auto"/>
          <w:sz w:val="20"/>
          <w:szCs w:val="20"/>
        </w:rPr>
        <w:fldChar w:fldCharType="end"/>
      </w:r>
      <w:r>
        <w:rPr>
          <w:b/>
          <w:bCs/>
          <w:i w:val="0"/>
          <w:iCs w:val="0"/>
          <w:color w:val="auto"/>
          <w:sz w:val="20"/>
          <w:szCs w:val="20"/>
          <w:lang w:val="en-US"/>
        </w:rPr>
        <w:tab/>
      </w:r>
      <w:r>
        <w:rPr>
          <w:rFonts w:cs="Tahoma"/>
          <w:b/>
          <w:bCs/>
          <w:i w:val="0"/>
          <w:iCs w:val="0"/>
          <w:color w:val="auto"/>
          <w:sz w:val="20"/>
          <w:szCs w:val="20"/>
        </w:rPr>
        <w:t>Sumber Pertumbuhan Ekonomi Kalimantan Tengah</w:t>
      </w:r>
      <w:r>
        <w:rPr>
          <w:rFonts w:cs="Tahoma"/>
          <w:b/>
          <w:bCs/>
          <w:i w:val="0"/>
          <w:iCs w:val="0"/>
          <w:color w:val="auto"/>
          <w:sz w:val="20"/>
          <w:szCs w:val="20"/>
          <w:lang w:val="en-US"/>
        </w:rPr>
        <w:t xml:space="preserve"> </w:t>
      </w:r>
      <w:r>
        <w:rPr>
          <w:rFonts w:cs="Tahoma"/>
          <w:b/>
          <w:bCs/>
          <w:i w:val="0"/>
          <w:iCs w:val="0"/>
          <w:color w:val="auto"/>
          <w:sz w:val="20"/>
          <w:szCs w:val="20"/>
        </w:rPr>
        <w:t>(y-on-y) Menurut Kategori Lapangan Usaha</w:t>
      </w:r>
      <w:r>
        <w:rPr>
          <w:rFonts w:cs="Tahoma"/>
          <w:b/>
          <w:bCs/>
          <w:i w:val="0"/>
          <w:iCs w:val="0"/>
          <w:color w:val="auto"/>
          <w:sz w:val="22"/>
          <w:szCs w:val="22"/>
        </w:rPr>
        <w:t xml:space="preserve"> 2019-2021</w:t>
      </w:r>
      <w:r>
        <w:rPr>
          <w:rFonts w:cs="Tahoma"/>
          <w:b/>
          <w:bCs/>
          <w:i w:val="0"/>
          <w:iCs w:val="0"/>
          <w:color w:val="auto"/>
          <w:sz w:val="22"/>
          <w:szCs w:val="22"/>
          <w:lang w:val="en-US"/>
        </w:rPr>
        <w:t xml:space="preserve"> </w:t>
      </w:r>
      <w:r>
        <w:rPr>
          <w:rFonts w:cs="Tahoma"/>
          <w:b/>
          <w:bCs/>
          <w:i w:val="0"/>
          <w:iCs w:val="0"/>
          <w:color w:val="auto"/>
          <w:sz w:val="22"/>
          <w:szCs w:val="22"/>
        </w:rPr>
        <w:t>(persen)</w:t>
      </w:r>
      <w:bookmarkEnd w:id="24"/>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spacing w:line="360" w:lineRule="auto"/>
        <w:ind w:firstLine="720"/>
        <w:jc w:val="both"/>
        <w:rPr>
          <w:rFonts w:cs="Tahoma"/>
          <w:lang w:val="sv-SE"/>
        </w:rPr>
      </w:pPr>
    </w:p>
    <w:p>
      <w:pPr>
        <w:spacing w:line="360" w:lineRule="auto"/>
        <w:ind w:firstLine="720"/>
        <w:jc w:val="both"/>
        <w:rPr>
          <w:rFonts w:cs="Tahoma"/>
          <w:lang w:val="sv-SE"/>
        </w:rPr>
      </w:pPr>
      <w:r>
        <w:rPr>
          <w:noProof/>
          <w:lang w:val="en-ID" w:eastAsia="en-ID"/>
        </w:rPr>
        <mc:AlternateContent>
          <mc:Choice Requires="wps">
            <w:drawing>
              <wp:anchor distT="0" distB="0" distL="114300" distR="114300" simplePos="0" relativeHeight="251685376" behindDoc="0" locked="0" layoutInCell="1" allowOverlap="1">
                <wp:simplePos x="0" y="0"/>
                <wp:positionH relativeFrom="margin">
                  <wp:posOffset>31750</wp:posOffset>
                </wp:positionH>
                <wp:positionV relativeFrom="paragraph">
                  <wp:posOffset>333375</wp:posOffset>
                </wp:positionV>
                <wp:extent cx="3846830" cy="9271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927100"/>
                        </a:xfrm>
                        <a:prstGeom prst="rect">
                          <a:avLst/>
                        </a:prstGeom>
                        <a:noFill/>
                        <a:ln>
                          <a:noFill/>
                        </a:ln>
                      </wps:spPr>
                      <wps:txbx>
                        <w:txbxContent>
                          <w:p>
                            <w:pPr>
                              <w:spacing w:after="0" w:line="240" w:lineRule="auto"/>
                              <w:rPr>
                                <w:rFonts w:cs="Tahoma"/>
                                <w:i/>
                                <w:color w:val="000000"/>
                                <w:sz w:val="18"/>
                                <w:szCs w:val="18"/>
                              </w:rPr>
                            </w:pPr>
                            <w:r>
                              <w:rPr>
                                <w:rFonts w:cs="Tahoma"/>
                                <w:i/>
                                <w:color w:val="000000"/>
                                <w:sz w:val="18"/>
                                <w:szCs w:val="18"/>
                              </w:rPr>
                              <w:t>Catatan:</w:t>
                            </w:r>
                          </w:p>
                          <w:p>
                            <w:pPr>
                              <w:spacing w:after="0" w:line="240" w:lineRule="auto"/>
                              <w:ind w:left="851" w:hanging="851"/>
                              <w:rPr>
                                <w:rFonts w:cs="Tahoma"/>
                                <w:i/>
                                <w:color w:val="000000"/>
                                <w:sz w:val="18"/>
                                <w:szCs w:val="18"/>
                              </w:rPr>
                            </w:pPr>
                            <w:r>
                              <w:rPr>
                                <w:rFonts w:cs="Tahoma"/>
                                <w:i/>
                                <w:color w:val="000000"/>
                                <w:sz w:val="18"/>
                                <w:szCs w:val="18"/>
                              </w:rPr>
                              <w:t>y to y</w:t>
                            </w:r>
                            <w:r>
                              <w:rPr>
                                <w:rFonts w:cs="Tahoma"/>
                                <w:i/>
                                <w:color w:val="000000"/>
                                <w:sz w:val="18"/>
                                <w:szCs w:val="18"/>
                              </w:rPr>
                              <w:tab/>
                              <w:t xml:space="preserve"> : PDRB atas dasar harga konstan pada suatu triwulan dibandingkan dengan triwulan yang sama tahun sebelumnya</w:t>
                            </w:r>
                          </w:p>
                          <w:p>
                            <w:pPr>
                              <w:tabs>
                                <w:tab w:val="left" w:pos="851"/>
                              </w:tabs>
                              <w:spacing w:after="240" w:line="240" w:lineRule="auto"/>
                              <w:ind w:left="851" w:hanging="851"/>
                              <w:rPr>
                                <w:rFonts w:cs="Tahoma"/>
                                <w:i/>
                                <w:color w:val="000000"/>
                                <w:sz w:val="18"/>
                                <w:szCs w:val="18"/>
                              </w:rPr>
                            </w:pPr>
                            <w:r>
                              <w:rPr>
                                <w:rFonts w:cs="Tahoma"/>
                                <w:i/>
                                <w:color w:val="000000"/>
                                <w:sz w:val="18"/>
                                <w:szCs w:val="18"/>
                              </w:rPr>
                              <w:t>Sumber</w:t>
                            </w:r>
                            <w:r>
                              <w:rPr>
                                <w:rFonts w:cs="Tahoma"/>
                                <w:i/>
                                <w:color w:val="000000"/>
                                <w:sz w:val="18"/>
                                <w:szCs w:val="18"/>
                              </w:rPr>
                              <w:tab/>
                              <w:t xml:space="preserve"> :</w:t>
                            </w:r>
                            <w:r>
                              <w:rPr>
                                <w:rFonts w:cs="Tahoma"/>
                                <w:i/>
                                <w:color w:val="000000"/>
                                <w:sz w:val="18"/>
                                <w:szCs w:val="18"/>
                                <w:lang w:val="en-US"/>
                              </w:rPr>
                              <w:t xml:space="preserve"> </w:t>
                            </w:r>
                            <w:r>
                              <w:rPr>
                                <w:rFonts w:cs="Tahoma"/>
                                <w:i/>
                                <w:color w:val="000000"/>
                                <w:sz w:val="18"/>
                                <w:szCs w:val="18"/>
                              </w:rPr>
                              <w:t>BPS, Berita Resmi Statistik Pertumbuhan Ekonomi Kalimantan</w:t>
                            </w:r>
                            <w:r>
                              <w:rPr>
                                <w:rFonts w:cs="Tahoma"/>
                                <w:i/>
                                <w:color w:val="000000"/>
                                <w:sz w:val="18"/>
                                <w:szCs w:val="18"/>
                                <w:lang w:val="en-US"/>
                              </w:rPr>
                              <w:t xml:space="preserve"> </w:t>
                            </w:r>
                            <w:r>
                              <w:rPr>
                                <w:rFonts w:cs="Tahoma"/>
                                <w:i/>
                                <w:color w:val="000000"/>
                                <w:sz w:val="18"/>
                                <w:szCs w:val="18"/>
                              </w:rPr>
                              <w:t>Tengah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left:0;text-align:left;margin-left:2.5pt;margin-top:26.25pt;width:302.9pt;height:73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" filled="f" stroked="f">
                <v:textbox>
                  <w:txbxContent>
                    <w:p>
                      <w:pPr>
                        <w:spacing w:after="0" w:line="240" w:lineRule="auto"/>
                        <w:rPr>
                          <w:rFonts w:cs="Tahoma"/>
                          <w:i/>
                          <w:color w:val="000000"/>
                          <w:sz w:val="18"/>
                          <w:szCs w:val="18"/>
                        </w:rPr>
                      </w:pPr>
                      <w:r>
                        <w:rPr>
                          <w:rFonts w:cs="Tahoma"/>
                          <w:i/>
                          <w:color w:val="000000"/>
                          <w:sz w:val="18"/>
                          <w:szCs w:val="18"/>
                        </w:rPr>
                        <w:t>Catatan:</w:t>
                      </w:r>
                    </w:p>
                    <w:p>
                      <w:pPr>
                        <w:spacing w:after="0" w:line="240" w:lineRule="auto"/>
                        <w:ind w:left="851" w:hanging="851"/>
                        <w:rPr>
                          <w:rFonts w:cs="Tahoma"/>
                          <w:i/>
                          <w:color w:val="000000"/>
                          <w:sz w:val="18"/>
                          <w:szCs w:val="18"/>
                        </w:rPr>
                      </w:pPr>
                      <w:r>
                        <w:rPr>
                          <w:rFonts w:cs="Tahoma"/>
                          <w:i/>
                          <w:color w:val="000000"/>
                          <w:sz w:val="18"/>
                          <w:szCs w:val="18"/>
                        </w:rPr>
                        <w:t>y to y</w:t>
                      </w:r>
                      <w:r>
                        <w:rPr>
                          <w:rFonts w:cs="Tahoma"/>
                          <w:i/>
                          <w:color w:val="000000"/>
                          <w:sz w:val="18"/>
                          <w:szCs w:val="18"/>
                        </w:rPr>
                        <w:tab/>
                        <w:t xml:space="preserve"> : PDRB atas dasar harga konstan pada suatu triwulan dibandingkan dengan triwulan yang sama tahun sebelumnya</w:t>
                      </w:r>
                    </w:p>
                    <w:p>
                      <w:pPr>
                        <w:tabs>
                          <w:tab w:val="left" w:pos="851"/>
                        </w:tabs>
                        <w:spacing w:after="240" w:line="240" w:lineRule="auto"/>
                        <w:ind w:left="851" w:hanging="851"/>
                        <w:rPr>
                          <w:rFonts w:cs="Tahoma"/>
                          <w:i/>
                          <w:color w:val="000000"/>
                          <w:sz w:val="18"/>
                          <w:szCs w:val="18"/>
                        </w:rPr>
                      </w:pPr>
                      <w:r>
                        <w:rPr>
                          <w:rFonts w:cs="Tahoma"/>
                          <w:i/>
                          <w:color w:val="000000"/>
                          <w:sz w:val="18"/>
                          <w:szCs w:val="18"/>
                        </w:rPr>
                        <w:t>Sumber</w:t>
                      </w:r>
                      <w:r>
                        <w:rPr>
                          <w:rFonts w:cs="Tahoma"/>
                          <w:i/>
                          <w:color w:val="000000"/>
                          <w:sz w:val="18"/>
                          <w:szCs w:val="18"/>
                        </w:rPr>
                        <w:tab/>
                        <w:t xml:space="preserve"> :</w:t>
                      </w:r>
                      <w:r>
                        <w:rPr>
                          <w:rFonts w:cs="Tahoma"/>
                          <w:i/>
                          <w:color w:val="000000"/>
                          <w:sz w:val="18"/>
                          <w:szCs w:val="18"/>
                          <w:lang w:val="en-US"/>
                        </w:rPr>
                        <w:t xml:space="preserve"> </w:t>
                      </w:r>
                      <w:r>
                        <w:rPr>
                          <w:rFonts w:cs="Tahoma"/>
                          <w:i/>
                          <w:color w:val="000000"/>
                          <w:sz w:val="18"/>
                          <w:szCs w:val="18"/>
                        </w:rPr>
                        <w:t>BPS, Berita Resmi Statistik Pertumbuhan Ekonomi Kalimantan</w:t>
                      </w:r>
                      <w:r>
                        <w:rPr>
                          <w:rFonts w:cs="Tahoma"/>
                          <w:i/>
                          <w:color w:val="000000"/>
                          <w:sz w:val="18"/>
                          <w:szCs w:val="18"/>
                          <w:lang w:val="en-US"/>
                        </w:rPr>
                        <w:t xml:space="preserve"> </w:t>
                      </w:r>
                      <w:r>
                        <w:rPr>
                          <w:rFonts w:cs="Tahoma"/>
                          <w:i/>
                          <w:color w:val="000000"/>
                          <w:sz w:val="18"/>
                          <w:szCs w:val="18"/>
                        </w:rPr>
                        <w:t>Tengah 2022</w:t>
                      </w:r>
                    </w:p>
                  </w:txbxContent>
                </v:textbox>
                <w10:wrap anchorx="margin"/>
              </v:shape>
            </w:pict>
          </mc:Fallback>
        </mc:AlternateContent>
      </w:r>
    </w:p>
    <w:p>
      <w:pPr>
        <w:spacing w:line="360" w:lineRule="auto"/>
        <w:ind w:firstLine="720"/>
        <w:jc w:val="both"/>
        <w:rPr>
          <w:rFonts w:cs="Tahoma"/>
          <w:lang w:val="sv-SE"/>
        </w:rPr>
      </w:pPr>
    </w:p>
    <w:p>
      <w:pPr>
        <w:spacing w:line="360" w:lineRule="auto"/>
        <w:ind w:firstLine="720"/>
        <w:jc w:val="both"/>
        <w:rPr>
          <w:rFonts w:cs="Tahoma"/>
          <w:lang w:val="sv-SE"/>
        </w:rPr>
      </w:pPr>
    </w:p>
    <w:p>
      <w:pPr>
        <w:tabs>
          <w:tab w:val="left" w:pos="6096"/>
        </w:tabs>
        <w:spacing w:line="360" w:lineRule="auto"/>
        <w:ind w:left="284" w:firstLine="567"/>
        <w:jc w:val="both"/>
        <w:rPr>
          <w:rFonts w:cs="Tahoma"/>
          <w:sz w:val="20"/>
          <w:szCs w:val="20"/>
          <w:lang w:val="sv-SE"/>
        </w:rPr>
      </w:pPr>
    </w:p>
    <w:p>
      <w:pPr>
        <w:tabs>
          <w:tab w:val="left" w:pos="6096"/>
        </w:tabs>
        <w:spacing w:line="360" w:lineRule="auto"/>
        <w:ind w:left="284" w:firstLine="567"/>
        <w:jc w:val="both"/>
        <w:rPr>
          <w:rFonts w:cs="Tahoma"/>
          <w:sz w:val="20"/>
          <w:szCs w:val="20"/>
          <w:lang w:val="sv-SE"/>
        </w:rPr>
      </w:pPr>
    </w:p>
    <w:p>
      <w:pPr>
        <w:tabs>
          <w:tab w:val="left" w:pos="6096"/>
        </w:tabs>
        <w:spacing w:line="360" w:lineRule="auto"/>
        <w:ind w:left="284" w:firstLine="567"/>
        <w:jc w:val="both"/>
        <w:rPr>
          <w:rFonts w:cs="Tahoma"/>
          <w:sz w:val="20"/>
          <w:szCs w:val="20"/>
          <w:lang w:val="sv-SE"/>
        </w:rPr>
      </w:pPr>
      <w:r>
        <w:rPr>
          <w:rFonts w:cs="Tahoma"/>
          <w:sz w:val="20"/>
          <w:szCs w:val="20"/>
          <w:lang w:val="sv-SE"/>
        </w:rPr>
        <w:lastRenderedPageBreak/>
        <w:t>Inflasi merupakan suatu indikator dalam mengukur stabilitas harga barang dan jasa. Laju inflasi suatu daerah didapatkan dari penghitungan Indeks Harga Konsumen (</w:t>
      </w:r>
      <w:smartTag w:uri="urn:schemas-microsoft-com:office:smarttags" w:element="stockticker">
        <w:r>
          <w:rPr>
            <w:rFonts w:cs="Tahoma"/>
            <w:sz w:val="20"/>
            <w:szCs w:val="20"/>
            <w:lang w:val="sv-SE"/>
          </w:rPr>
          <w:t>IHK</w:t>
        </w:r>
      </w:smartTag>
      <w:r>
        <w:rPr>
          <w:rFonts w:cs="Tahoma"/>
          <w:sz w:val="20"/>
          <w:szCs w:val="20"/>
          <w:lang w:val="sv-SE"/>
        </w:rPr>
        <w:t xml:space="preserve">) suatu bulan yang dibandingkan dengan </w:t>
      </w:r>
      <w:smartTag w:uri="urn:schemas-microsoft-com:office:smarttags" w:element="stockticker">
        <w:r>
          <w:rPr>
            <w:rFonts w:cs="Tahoma"/>
            <w:sz w:val="20"/>
            <w:szCs w:val="20"/>
            <w:lang w:val="sv-SE"/>
          </w:rPr>
          <w:t>IHK</w:t>
        </w:r>
      </w:smartTag>
      <w:r>
        <w:rPr>
          <w:rFonts w:cs="Tahoma"/>
          <w:sz w:val="20"/>
          <w:szCs w:val="20"/>
          <w:lang w:val="sv-SE"/>
        </w:rPr>
        <w:t xml:space="preserve"> bulan sebelumnya. Dalam penghitungan inflasi secara nasional, ada dua Kota di Provinsi Kalimantan Tengah yang dijadikan subjek penghitungan </w:t>
      </w:r>
      <w:smartTag w:uri="urn:schemas-microsoft-com:office:smarttags" w:element="stockticker">
        <w:r>
          <w:rPr>
            <w:rFonts w:cs="Tahoma"/>
            <w:sz w:val="20"/>
            <w:szCs w:val="20"/>
            <w:lang w:val="sv-SE"/>
          </w:rPr>
          <w:t>IHK</w:t>
        </w:r>
      </w:smartTag>
      <w:r>
        <w:rPr>
          <w:rFonts w:cs="Tahoma"/>
          <w:sz w:val="20"/>
          <w:szCs w:val="20"/>
          <w:lang w:val="sv-SE"/>
        </w:rPr>
        <w:t xml:space="preserve"> setiap bulannya yaitu Kota Palangka Raya dan Kota Sampit. Paket komoditas yang digunakan sebagai tahun dasar penghitungan </w:t>
      </w:r>
      <w:smartTag w:uri="urn:schemas-microsoft-com:office:smarttags" w:element="stockticker">
        <w:r>
          <w:rPr>
            <w:rFonts w:cs="Tahoma"/>
            <w:sz w:val="20"/>
            <w:szCs w:val="20"/>
            <w:lang w:val="sv-SE"/>
          </w:rPr>
          <w:t>IHK</w:t>
        </w:r>
      </w:smartTag>
      <w:r>
        <w:rPr>
          <w:rFonts w:cs="Tahoma"/>
          <w:sz w:val="20"/>
          <w:szCs w:val="20"/>
          <w:lang w:val="sv-SE"/>
        </w:rPr>
        <w:t xml:space="preserve"> adalah hasil dari Survei Biaya Hidup (</w:t>
      </w:r>
      <w:smartTag w:uri="urn:schemas-microsoft-com:office:smarttags" w:element="stockticker">
        <w:r>
          <w:rPr>
            <w:rFonts w:cs="Tahoma"/>
            <w:sz w:val="20"/>
            <w:szCs w:val="20"/>
            <w:lang w:val="sv-SE"/>
          </w:rPr>
          <w:t>SBH</w:t>
        </w:r>
      </w:smartTag>
      <w:r>
        <w:rPr>
          <w:rFonts w:cs="Tahoma"/>
          <w:sz w:val="20"/>
          <w:szCs w:val="20"/>
          <w:lang w:val="sv-SE"/>
        </w:rPr>
        <w:t>) tahun 2018.</w:t>
      </w:r>
    </w:p>
    <w:p>
      <w:pPr>
        <w:pStyle w:val="Caption"/>
        <w:spacing w:line="360" w:lineRule="auto"/>
        <w:ind w:left="1418" w:hanging="1134"/>
        <w:jc w:val="both"/>
        <w:rPr>
          <w:rFonts w:cs="Tahoma"/>
          <w:b/>
          <w:bCs/>
          <w:i w:val="0"/>
          <w:iCs w:val="0"/>
          <w:color w:val="auto"/>
          <w:sz w:val="20"/>
          <w:szCs w:val="20"/>
        </w:rPr>
      </w:pPr>
      <w:bookmarkStart w:id="25" w:name="_Toc117260778"/>
      <w:r>
        <w:rPr>
          <w:rFonts w:cs="Tahoma"/>
          <w:b/>
          <w:noProof/>
          <w:color w:val="FF0000"/>
          <w:lang w:val="en-ID" w:eastAsia="en-ID"/>
        </w:rPr>
        <w:drawing>
          <wp:anchor distT="0" distB="0" distL="114300" distR="114300" simplePos="0" relativeHeight="251659264" behindDoc="0" locked="0" layoutInCell="1" allowOverlap="1">
            <wp:simplePos x="0" y="0"/>
            <wp:positionH relativeFrom="column">
              <wp:posOffset>184785</wp:posOffset>
            </wp:positionH>
            <wp:positionV relativeFrom="paragraph">
              <wp:posOffset>412115</wp:posOffset>
            </wp:positionV>
            <wp:extent cx="3869690" cy="1355090"/>
            <wp:effectExtent l="0" t="0" r="0" b="0"/>
            <wp:wrapNone/>
            <wp:docPr id="8207" name="Picture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69690" cy="1355090"/>
                    </a:xfrm>
                    <a:prstGeom prst="rect">
                      <a:avLst/>
                    </a:prstGeom>
                  </pic:spPr>
                </pic:pic>
              </a:graphicData>
            </a:graphic>
          </wp:anchor>
        </w:drawing>
      </w:r>
      <w:r>
        <w:rPr>
          <w:b/>
          <w:bCs/>
          <w:i w:val="0"/>
          <w:iCs w:val="0"/>
          <w:color w:val="auto"/>
          <w:sz w:val="20"/>
          <w:szCs w:val="20"/>
        </w:rPr>
        <w:t xml:space="preserve">Gambar 2. </w:t>
      </w:r>
      <w:r>
        <w:rPr>
          <w:b/>
          <w:bCs/>
          <w:i w:val="0"/>
          <w:iCs w:val="0"/>
          <w:color w:val="auto"/>
          <w:sz w:val="20"/>
          <w:szCs w:val="20"/>
        </w:rPr>
        <w:fldChar w:fldCharType="begin"/>
      </w:r>
      <w:r>
        <w:rPr>
          <w:b/>
          <w:bCs/>
          <w:i w:val="0"/>
          <w:iCs w:val="0"/>
          <w:color w:val="auto"/>
          <w:sz w:val="20"/>
          <w:szCs w:val="20"/>
        </w:rPr>
        <w:instrText xml:space="preserve"> SEQ Gambar_2. \* ARABIC </w:instrText>
      </w:r>
      <w:r>
        <w:rPr>
          <w:b/>
          <w:bCs/>
          <w:i w:val="0"/>
          <w:iCs w:val="0"/>
          <w:color w:val="auto"/>
          <w:sz w:val="20"/>
          <w:szCs w:val="20"/>
        </w:rPr>
        <w:fldChar w:fldCharType="separate"/>
      </w:r>
      <w:r>
        <w:rPr>
          <w:b/>
          <w:bCs/>
          <w:i w:val="0"/>
          <w:iCs w:val="0"/>
          <w:noProof/>
          <w:color w:val="auto"/>
          <w:sz w:val="20"/>
          <w:szCs w:val="20"/>
        </w:rPr>
        <w:t>4</w:t>
      </w:r>
      <w:r>
        <w:rPr>
          <w:b/>
          <w:bCs/>
          <w:i w:val="0"/>
          <w:iCs w:val="0"/>
          <w:color w:val="auto"/>
          <w:sz w:val="20"/>
          <w:szCs w:val="20"/>
        </w:rPr>
        <w:fldChar w:fldCharType="end"/>
      </w:r>
      <w:r>
        <w:rPr>
          <w:b/>
          <w:bCs/>
          <w:i w:val="0"/>
          <w:iCs w:val="0"/>
          <w:color w:val="auto"/>
          <w:sz w:val="20"/>
          <w:szCs w:val="20"/>
        </w:rPr>
        <w:tab/>
      </w:r>
      <w:r>
        <w:rPr>
          <w:rFonts w:cs="Tahoma"/>
          <w:b/>
          <w:bCs/>
          <w:i w:val="0"/>
          <w:iCs w:val="0"/>
          <w:color w:val="auto"/>
          <w:sz w:val="20"/>
          <w:szCs w:val="20"/>
        </w:rPr>
        <w:t>Perkembangan Inflasi Kalimantan Tengah, Desember 2020 –Desember 2021</w:t>
      </w:r>
      <w:bookmarkEnd w:id="25"/>
    </w:p>
    <w:p>
      <w:pPr>
        <w:jc w:val="both"/>
      </w:pPr>
    </w:p>
    <w:p>
      <w:pPr>
        <w:jc w:val="both"/>
        <w:rPr>
          <w:lang w:val="en-US"/>
        </w:rPr>
      </w:pPr>
    </w:p>
    <w:p>
      <w:pPr>
        <w:jc w:val="both"/>
        <w:rPr>
          <w:lang w:val="en-US"/>
        </w:rPr>
      </w:pPr>
    </w:p>
    <w:p>
      <w:pPr>
        <w:jc w:val="both"/>
        <w:rPr>
          <w:lang w:val="en-US"/>
        </w:rPr>
      </w:pPr>
      <w:r>
        <w:rPr>
          <w:noProof/>
          <w:lang w:val="en-ID" w:eastAsia="en-ID"/>
        </w:rPr>
        <mc:AlternateContent>
          <mc:Choice Requires="wps">
            <w:drawing>
              <wp:anchor distT="0" distB="0" distL="114300" distR="114300" simplePos="0" relativeHeight="251686400" behindDoc="0" locked="0" layoutInCell="1" allowOverlap="1">
                <wp:simplePos x="0" y="0"/>
                <wp:positionH relativeFrom="margin">
                  <wp:posOffset>0</wp:posOffset>
                </wp:positionH>
                <wp:positionV relativeFrom="paragraph">
                  <wp:posOffset>217805</wp:posOffset>
                </wp:positionV>
                <wp:extent cx="3878580" cy="26416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264160"/>
                        </a:xfrm>
                        <a:prstGeom prst="rect">
                          <a:avLst/>
                        </a:prstGeom>
                        <a:solidFill>
                          <a:srgbClr val="FFFFFF"/>
                        </a:solidFill>
                        <a:ln>
                          <a:noFill/>
                        </a:ln>
                      </wps:spPr>
                      <wps:txbx>
                        <w:txbxContent>
                          <w:p>
                            <w:pPr>
                              <w:ind w:left="142"/>
                              <w:rPr>
                                <w:i/>
                                <w:sz w:val="18"/>
                                <w:szCs w:val="18"/>
                              </w:rPr>
                            </w:pPr>
                            <w:r>
                              <w:rPr>
                                <w:rFonts w:cs="Tahoma"/>
                                <w:i/>
                                <w:color w:val="000000"/>
                                <w:sz w:val="18"/>
                                <w:szCs w:val="18"/>
                              </w:rPr>
                              <w:t>Sumber : BPS, Berita Resmi Statistik Perkembangan Inflasi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left:0;text-align:left;margin-left:0;margin-top:17.15pt;width:305.4pt;height:20.8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" stroked="f">
                <v:textbox>
                  <w:txbxContent>
                    <w:p>
                      <w:pPr>
                        <w:ind w:left="142"/>
                        <w:rPr>
                          <w:i/>
                          <w:sz w:val="18"/>
                          <w:szCs w:val="18"/>
                        </w:rPr>
                      </w:pPr>
                      <w:r>
                        <w:rPr>
                          <w:rFonts w:cs="Tahoma"/>
                          <w:i/>
                          <w:color w:val="000000"/>
                          <w:sz w:val="18"/>
                          <w:szCs w:val="18"/>
                        </w:rPr>
                        <w:t>Sumber : BPS, Berita Resmi Statistik Perkembangan Inflasi 2021</w:t>
                      </w:r>
                    </w:p>
                  </w:txbxContent>
                </v:textbox>
                <w10:wrap anchorx="margin"/>
              </v:shape>
            </w:pict>
          </mc:Fallback>
        </mc:AlternateContent>
      </w:r>
    </w:p>
    <w:p>
      <w:pPr>
        <w:pStyle w:val="NormalAldusRoman"/>
        <w:spacing w:line="360" w:lineRule="auto"/>
        <w:ind w:firstLine="720"/>
        <w:jc w:val="both"/>
        <w:rPr>
          <w:rFonts w:asciiTheme="minorHAnsi" w:hAnsiTheme="minorHAnsi" w:cs="Tahoma"/>
          <w:lang w:val="sv-SE"/>
        </w:rPr>
      </w:pPr>
    </w:p>
    <w:p>
      <w:pPr>
        <w:pStyle w:val="NormalAldusRoman"/>
        <w:spacing w:line="360" w:lineRule="auto"/>
        <w:ind w:left="284" w:firstLine="436"/>
        <w:jc w:val="both"/>
        <w:rPr>
          <w:rFonts w:asciiTheme="minorHAnsi" w:hAnsiTheme="minorHAnsi" w:cs="Tahoma"/>
          <w:sz w:val="20"/>
          <w:szCs w:val="20"/>
          <w:lang w:val="sv-SE"/>
        </w:rPr>
      </w:pPr>
      <w:r>
        <w:rPr>
          <w:rFonts w:asciiTheme="minorHAnsi" w:hAnsiTheme="minorHAnsi" w:cs="Tahoma"/>
          <w:sz w:val="20"/>
          <w:szCs w:val="20"/>
          <w:lang w:val="sv-SE"/>
        </w:rPr>
        <w:t xml:space="preserve">Pada Desember 2021, berdasarkan dua kota acuan Palangka Raya dan Sampit, terjadi inflasi di Kalimantan Tengah sebesar 0,86 persen dengan Indeks Harga Konsumen (IHK) sebesar 108,77. Tingkat inflasi tahun kalender (Januari–Desember) 2021 dan tingkat inflasi tahun ke tahun (Desember 2021 terhadap Desember 2020) untuk Kota Palangka Raya tercatat sebesar 2,58 persen dan Kabupaten Sampit 4,62 persen. Tingkat inflasi Kota Palangka Raya justru lebih rendah dibanding laju inflasi Kota Sampit. Namun </w:t>
      </w:r>
      <w:r>
        <w:rPr>
          <w:rFonts w:asciiTheme="minorHAnsi" w:hAnsiTheme="minorHAnsi" w:cs="Tahoma"/>
          <w:sz w:val="20"/>
          <w:szCs w:val="20"/>
          <w:lang w:val="sv-SE"/>
        </w:rPr>
        <w:lastRenderedPageBreak/>
        <w:t>jika dibandingkan pade level nasional, tingkat inflasi Kota Palangka Raya maupun Kota Sampit lebih tinggi dibandingkan laju inflasi nasional yang mencapai 1,87 persen. Secara umum, inflasi tahun kalender dan inflasi tahun ke tahun  disebabkan oleh peningkatan indeks harga pada kelompok kesehatan (8,86 persen), kelompok perumahan, air, listrik, dan bahan bakar rumah tangga (4,88 persen), serta kelompok makanan, minuman, dan tembakau (4,88 persen).</w:t>
      </w:r>
    </w:p>
    <w:p>
      <w:pPr>
        <w:pStyle w:val="NormalAldusRoman"/>
        <w:spacing w:line="360" w:lineRule="auto"/>
        <w:ind w:firstLine="720"/>
        <w:jc w:val="both"/>
        <w:rPr>
          <w:rFonts w:asciiTheme="minorHAnsi" w:hAnsiTheme="minorHAnsi" w:cs="Tahoma"/>
          <w:sz w:val="20"/>
          <w:szCs w:val="20"/>
          <w:lang w:val="sv-SE"/>
        </w:rPr>
      </w:pPr>
    </w:p>
    <w:p>
      <w:pPr>
        <w:pStyle w:val="Heading2"/>
        <w:numPr>
          <w:ilvl w:val="1"/>
          <w:numId w:val="16"/>
        </w:numPr>
        <w:ind w:left="540" w:hanging="256"/>
        <w:jc w:val="both"/>
        <w:rPr>
          <w:rFonts w:asciiTheme="minorHAnsi" w:hAnsiTheme="minorHAnsi" w:cstheme="minorHAnsi"/>
          <w:b w:val="0"/>
          <w:bCs/>
          <w:color w:val="C00000"/>
          <w:sz w:val="20"/>
          <w:szCs w:val="20"/>
          <w:lang w:val="en-ID"/>
        </w:rPr>
      </w:pPr>
      <w:bookmarkStart w:id="26" w:name="_Toc118715973"/>
      <w:r>
        <w:rPr>
          <w:rFonts w:asciiTheme="minorHAnsi" w:hAnsiTheme="minorHAnsi" w:cstheme="minorHAnsi"/>
          <w:sz w:val="20"/>
          <w:szCs w:val="20"/>
        </w:rPr>
        <w:t>Sejarah dan Sosial Budaya</w:t>
      </w:r>
      <w:bookmarkEnd w:id="26"/>
    </w:p>
    <w:p>
      <w:pPr>
        <w:pStyle w:val="BodyTextIndent"/>
        <w:spacing w:after="0" w:line="360" w:lineRule="auto"/>
        <w:ind w:left="284" w:right="27" w:firstLine="567"/>
        <w:jc w:val="both"/>
        <w:rPr>
          <w:sz w:val="20"/>
          <w:szCs w:val="20"/>
        </w:rPr>
      </w:pPr>
      <w:r>
        <w:rPr>
          <w:sz w:val="20"/>
          <w:szCs w:val="20"/>
        </w:rPr>
        <w:t>Pada awal kemerdekaan hanya terdapat tiga provinsi di Pulau Kalimantan yaitu Provinsi Kalimantan Selatan, Kalimantan Barat dan Kalimantan Timur. Ketiga provinsi tersebut dibentuk berbasis latar belakang sejarah perjuangan kemerdekaan, yaitu munculnya  perlawanan raja-raja dan sultan dari ketiga daerah tersebut. Pada waktu itu wilayah Kalimantan Tengah masih bergabung dengan Provinsi Kalimantan Selatan.</w:t>
      </w:r>
    </w:p>
    <w:p>
      <w:pPr>
        <w:pStyle w:val="BodyTextIndent"/>
        <w:spacing w:after="0" w:line="360" w:lineRule="auto"/>
        <w:ind w:left="284" w:right="27" w:firstLine="567"/>
        <w:jc w:val="both"/>
        <w:rPr>
          <w:sz w:val="20"/>
          <w:szCs w:val="20"/>
        </w:rPr>
      </w:pPr>
      <w:r>
        <w:rPr>
          <w:sz w:val="20"/>
          <w:szCs w:val="20"/>
        </w:rPr>
        <w:t xml:space="preserve">Provinsi Kalimantan Tengah terbentuk atas perjuangan putra daerah dengan tekad berpisah dengan Provinsi Kalimantan Selatan. Tokoh putra daerah yang berjuang pada tahun 1950 tercatat dalam sejarah yaitu Simbar Cs. Beliau mengumpulkan tokoh-tokoh dari beberapa daerah seperti Barito Selatan, Kapuas, Katingan, Kotawaringin dan daerah lainnya. Usulan agar Kalimantan Tengah berpisah dari Kalimantan Selatan didasarkan pada potensi sumber daya alam berupa hutan, barang tambang dan lain-lain. Disamping itu, daerah Kalimantan Tengah berdasarkan letak geografis, berada di tengah-tengah Kalimantan dan memiliki pantai yang panjang yaitu di Kotawaringin Timur, Kotawaringin Barat serta di Kabupaten Kapuas. </w:t>
      </w:r>
      <w:r>
        <w:rPr>
          <w:sz w:val="20"/>
          <w:szCs w:val="20"/>
        </w:rPr>
        <w:lastRenderedPageBreak/>
        <w:t xml:space="preserve">Dengan potensi ini, Kalimantan Tengah mampu menjadi daerah otonomi dan berkuasa penuh tanpa tergantung kepada pemerintahan daerah Kalimantan Selatan. </w:t>
      </w:r>
    </w:p>
    <w:p>
      <w:pPr>
        <w:pStyle w:val="BodyTextIndent"/>
        <w:spacing w:after="0" w:line="360" w:lineRule="auto"/>
        <w:ind w:left="284" w:right="27" w:firstLine="567"/>
        <w:jc w:val="both"/>
        <w:rPr>
          <w:sz w:val="20"/>
          <w:szCs w:val="20"/>
        </w:rPr>
      </w:pPr>
      <w:r>
        <w:rPr>
          <w:rFonts w:ascii="Calibri" w:hAnsi="Calibri"/>
          <w:noProof/>
          <w:sz w:val="20"/>
          <w:szCs w:val="20"/>
          <w:lang w:val="en-ID" w:eastAsia="en-ID"/>
        </w:rPr>
        <mc:AlternateContent>
          <mc:Choice Requires="wps">
            <w:drawing>
              <wp:anchor distT="0" distB="0" distL="114300" distR="114300" simplePos="0" relativeHeight="251688448" behindDoc="0" locked="0" layoutInCell="1" allowOverlap="1">
                <wp:simplePos x="0" y="0"/>
                <wp:positionH relativeFrom="column">
                  <wp:posOffset>1548765</wp:posOffset>
                </wp:positionH>
                <wp:positionV relativeFrom="paragraph">
                  <wp:posOffset>1572895</wp:posOffset>
                </wp:positionV>
                <wp:extent cx="2354580" cy="57531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575310"/>
                        </a:xfrm>
                        <a:prstGeom prst="rect">
                          <a:avLst/>
                        </a:prstGeom>
                        <a:solidFill>
                          <a:prstClr val="white"/>
                        </a:solidFill>
                        <a:ln>
                          <a:noFill/>
                        </a:ln>
                      </wps:spPr>
                      <wps:txbx>
                        <w:txbxContent>
                          <w:p>
                            <w:pPr>
                              <w:jc w:val="center"/>
                              <w:rPr>
                                <w:b/>
                                <w:bCs/>
                                <w:sz w:val="20"/>
                                <w:szCs w:val="20"/>
                              </w:rPr>
                            </w:pPr>
                            <w:bookmarkStart w:id="27" w:name="_Toc117260779"/>
                            <w:r>
                              <w:rPr>
                                <w:b/>
                                <w:bCs/>
                                <w:sz w:val="20"/>
                                <w:szCs w:val="20"/>
                              </w:rPr>
                              <w:t xml:space="preserve">Gambar 2. </w:t>
                            </w:r>
                            <w:r>
                              <w:rPr>
                                <w:b/>
                                <w:bCs/>
                                <w:sz w:val="20"/>
                                <w:szCs w:val="20"/>
                              </w:rPr>
                              <w:fldChar w:fldCharType="begin"/>
                            </w:r>
                            <w:r>
                              <w:rPr>
                                <w:b/>
                                <w:bCs/>
                                <w:sz w:val="20"/>
                                <w:szCs w:val="20"/>
                              </w:rPr>
                              <w:instrText xml:space="preserve"> SEQ Gambar_2. \* ARABIC </w:instrText>
                            </w:r>
                            <w:r>
                              <w:rPr>
                                <w:b/>
                                <w:bCs/>
                                <w:sz w:val="20"/>
                                <w:szCs w:val="20"/>
                              </w:rPr>
                              <w:fldChar w:fldCharType="separate"/>
                            </w:r>
                            <w:r>
                              <w:rPr>
                                <w:b/>
                                <w:bCs/>
                                <w:noProof/>
                                <w:sz w:val="20"/>
                                <w:szCs w:val="20"/>
                              </w:rPr>
                              <w:t>5</w:t>
                            </w:r>
                            <w:r>
                              <w:rPr>
                                <w:b/>
                                <w:bCs/>
                                <w:sz w:val="20"/>
                                <w:szCs w:val="20"/>
                              </w:rPr>
                              <w:fldChar w:fldCharType="end"/>
                            </w:r>
                            <w:r>
                              <w:rPr>
                                <w:rFonts w:cs="Tahoma"/>
                                <w:b/>
                                <w:bCs/>
                                <w:sz w:val="20"/>
                                <w:szCs w:val="20"/>
                              </w:rPr>
                              <w:t xml:space="preserve"> Persentase Penduduk Kalimantan Tengah Menurut Suku Bangsa, 2010</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33" type="#_x0000_t202" style="position:absolute;left:0;text-align:left;margin-left:121.95pt;margin-top:123.85pt;width:185.4pt;height:45.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" stroked="f">
                <v:path arrowok="t"/>
                <v:textbox inset="0,0,0,0">
                  <w:txbxContent>
                    <w:p>
                      <w:pPr>
                        <w:jc w:val="center"/>
                        <w:rPr>
                          <w:b/>
                          <w:bCs/>
                          <w:sz w:val="20"/>
                          <w:szCs w:val="20"/>
                        </w:rPr>
                      </w:pPr>
                      <w:bookmarkStart w:id="27" w:name="_Toc117260779"/>
                      <w:r>
                        <w:rPr>
                          <w:b/>
                          <w:bCs/>
                          <w:sz w:val="20"/>
                          <w:szCs w:val="20"/>
                        </w:rPr>
                        <w:t xml:space="preserve">Gambar 2. </w:t>
                      </w:r>
                      <w:r>
                        <w:rPr>
                          <w:b/>
                          <w:bCs/>
                          <w:sz w:val="20"/>
                          <w:szCs w:val="20"/>
                        </w:rPr>
                        <w:fldChar w:fldCharType="begin"/>
                      </w:r>
                      <w:r>
                        <w:rPr>
                          <w:b/>
                          <w:bCs/>
                          <w:sz w:val="20"/>
                          <w:szCs w:val="20"/>
                        </w:rPr>
                        <w:instrText xml:space="preserve"> SEQ Gambar_2. \* ARABIC </w:instrText>
                      </w:r>
                      <w:r>
                        <w:rPr>
                          <w:b/>
                          <w:bCs/>
                          <w:sz w:val="20"/>
                          <w:szCs w:val="20"/>
                        </w:rPr>
                        <w:fldChar w:fldCharType="separate"/>
                      </w:r>
                      <w:r>
                        <w:rPr>
                          <w:b/>
                          <w:bCs/>
                          <w:noProof/>
                          <w:sz w:val="20"/>
                          <w:szCs w:val="20"/>
                        </w:rPr>
                        <w:t>5</w:t>
                      </w:r>
                      <w:r>
                        <w:rPr>
                          <w:b/>
                          <w:bCs/>
                          <w:sz w:val="20"/>
                          <w:szCs w:val="20"/>
                        </w:rPr>
                        <w:fldChar w:fldCharType="end"/>
                      </w:r>
                      <w:r>
                        <w:rPr>
                          <w:rFonts w:cs="Tahoma"/>
                          <w:b/>
                          <w:bCs/>
                          <w:sz w:val="20"/>
                          <w:szCs w:val="20"/>
                        </w:rPr>
                        <w:t xml:space="preserve"> Persentase Penduduk Kalimantan Tengah Menurut Suku Bangsa, 2010</w:t>
                      </w:r>
                      <w:bookmarkEnd w:id="27"/>
                    </w:p>
                  </w:txbxContent>
                </v:textbox>
              </v:shape>
            </w:pict>
          </mc:Fallback>
        </mc:AlternateContent>
      </w:r>
      <w:r>
        <w:rPr>
          <w:sz w:val="20"/>
          <w:szCs w:val="20"/>
        </w:rPr>
        <w:t xml:space="preserve">Berdasarkan kesepakatan antara pemerintah pusat dan pejuang, wilayah Kalimantan Tengah disetujui menjadi provinsi. Palangka Raya ditetapkan  sebagai ibukotanya. Pada tanggal 17 Juli 1957, Presiden Republik Indonesia yaitu Ir. Soekarno meletakkan batu pertama di pinggir Sungai Kahayan.  Kini Tugu tersebut  dikenal sebagai </w:t>
      </w:r>
      <w:r>
        <w:rPr>
          <w:i/>
          <w:iCs/>
          <w:sz w:val="20"/>
          <w:szCs w:val="20"/>
        </w:rPr>
        <w:t>Tugu Peringatan Berdirinya Provinsi Kalimantan Tengah</w:t>
      </w:r>
      <w:r>
        <w:rPr>
          <w:sz w:val="20"/>
          <w:szCs w:val="20"/>
        </w:rPr>
        <w:t xml:space="preserve"> dan setiap tahun diperingati oleh masyarakat setempat. </w:t>
      </w:r>
    </w:p>
    <w:p>
      <w:pPr>
        <w:pStyle w:val="BodyText"/>
        <w:widowControl w:val="0"/>
        <w:spacing w:after="0" w:line="360" w:lineRule="auto"/>
        <w:ind w:left="284" w:right="55" w:firstLine="567"/>
        <w:jc w:val="both"/>
        <w:rPr>
          <w:rFonts w:asciiTheme="minorHAnsi" w:hAnsiTheme="minorHAnsi"/>
          <w:lang w:val="en-US"/>
        </w:rPr>
      </w:pPr>
      <w:r>
        <w:rPr>
          <w:noProof/>
          <w:lang w:val="en-ID" w:eastAsia="en-ID"/>
        </w:rPr>
        <mc:AlternateContent>
          <mc:Choice Requires="wpg">
            <w:drawing>
              <wp:anchor distT="0" distB="0" distL="114300" distR="114300" simplePos="0" relativeHeight="251687424" behindDoc="1" locked="0" layoutInCell="1" allowOverlap="1">
                <wp:simplePos x="0" y="0"/>
                <wp:positionH relativeFrom="margin">
                  <wp:align>right</wp:align>
                </wp:positionH>
                <wp:positionV relativeFrom="paragraph">
                  <wp:posOffset>0</wp:posOffset>
                </wp:positionV>
                <wp:extent cx="2475865" cy="2479040"/>
                <wp:effectExtent l="0" t="0" r="3810" b="10160"/>
                <wp:wrapTight wrapText="bothSides">
                  <wp:wrapPolygon edited="0">
                    <wp:start x="-83" y="0"/>
                    <wp:lineTo x="-83" y="5068"/>
                    <wp:lineTo x="332" y="5400"/>
                    <wp:lineTo x="332" y="21517"/>
                    <wp:lineTo x="21600" y="21517"/>
                    <wp:lineTo x="21600" y="0"/>
                    <wp:lineTo x="-83" y="0"/>
                  </wp:wrapPolygon>
                </wp:wrapTight>
                <wp:docPr id="3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2479040"/>
                          <a:chOff x="1272" y="1298"/>
                          <a:chExt cx="3708" cy="3726"/>
                        </a:xfrm>
                      </wpg:grpSpPr>
                      <pic:pic xmlns:pic="http://schemas.openxmlformats.org/drawingml/2006/picture">
                        <pic:nvPicPr>
                          <pic:cNvPr id="37" name="Picture 1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61" y="2236"/>
                            <a:ext cx="3619" cy="2788"/>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32"/>
                        <wps:cNvSpPr txBox="1">
                          <a:spLocks noChangeArrowheads="1"/>
                        </wps:cNvSpPr>
                        <wps:spPr bwMode="auto">
                          <a:xfrm>
                            <a:off x="1272" y="1298"/>
                            <a:ext cx="3708"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34" style="position:absolute;left:0;text-align:left;margin-left:143.75pt;margin-top:0;width:194.95pt;height:195.2pt;z-index:-251629056;mso-position-horizontal:right;mso-position-horizontal-relative:margin" coordorigin="1272,1298" coordsize="3708,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35" type="#_x0000_t75" style="position:absolute;left:1361;top:2236;width:3619;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D2BjFAAAA2wAAAA8AAABkcnMvZG93bnJldi54bWxEj0FLw0AUhO+C/2F5Qm92oxYtsdsiorSH&#10;HjSKtLfH7msSzb4N2dck/fddQfA4zMw3zGI1+kb11MU6sIGbaQaK2AZXc2ng8+P1eg4qCrLDJjAZ&#10;OFGE1fLyYoG5CwO/U19IqRKEY44GKpE21zraijzGaWiJk3cInUdJsiu163BIcN/o2yy71x5rTgsV&#10;tvRckf0pjt7Ay2w3L/Y9ra1sv+34FcpBDm/GTK7Gp0dQQqP8h//aG2fg7gF+v6Qfo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9gYxQAAANsAAAAPAAAAAAAAAAAAAAAA&#10;AJ8CAABkcnMvZG93bnJldi54bWxQSwUGAAAAAAQABAD3AAAAkQMAAAAA&#10;">
                  <v:imagedata r:id="rId31" o:title=""/>
                </v:shape>
                <v:shape id="Text Box 132" o:spid="_x0000_s1036" type="#_x0000_t202" style="position:absolute;left:1272;top:1298;width:370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pPr>
                          <w:jc w:val="center"/>
                          <w:rPr>
                            <w:sz w:val="20"/>
                            <w:szCs w:val="20"/>
                          </w:rPr>
                        </w:pPr>
                      </w:p>
                    </w:txbxContent>
                  </v:textbox>
                </v:shape>
                <w10:wrap type="tight" anchorx="margin"/>
              </v:group>
            </w:pict>
          </mc:Fallback>
        </mc:AlternateContent>
      </w:r>
      <w:r>
        <w:rPr>
          <w:rFonts w:asciiTheme="minorHAnsi" w:hAnsiTheme="minorHAnsi"/>
        </w:rPr>
        <w:t>Penduduk asli Provinsi Kalimantan Tengah adalah Suku Dayak, dan oleh karena  daerah Kalimantan Tengah merupakan tempat penampungan penduduk yang bertransmigrasi baik yang dilaksanakan oleh pemerintah maupun swakarsa, maka terdapat suku Banjar, Jawa, Bakumpai, Madura dan lain sebagainya seperti terlihat pada Gambar 2</w:t>
      </w:r>
      <w:r>
        <w:rPr>
          <w:rFonts w:asciiTheme="minorHAnsi" w:hAnsiTheme="minorHAnsi"/>
          <w:lang w:val="en-US"/>
        </w:rPr>
        <w:t>.5</w:t>
      </w:r>
    </w:p>
    <w:p>
      <w:pPr>
        <w:pStyle w:val="BodyTextIndent"/>
        <w:spacing w:after="0" w:line="360" w:lineRule="auto"/>
        <w:ind w:left="284" w:right="27" w:firstLine="567"/>
        <w:jc w:val="both"/>
        <w:rPr>
          <w:sz w:val="20"/>
          <w:szCs w:val="20"/>
        </w:rPr>
      </w:pPr>
      <w:r>
        <w:rPr>
          <w:sz w:val="20"/>
          <w:szCs w:val="20"/>
        </w:rPr>
        <w:t xml:space="preserve">Dengan keragaman suku bangsa yang tinggal di Provinsi Kalimantan Tengah, hal ini berpengaruh terhadap agama yang dipeluk oleh penduduk. </w:t>
      </w:r>
      <w:r>
        <w:rPr>
          <w:sz w:val="20"/>
          <w:szCs w:val="20"/>
        </w:rPr>
        <w:lastRenderedPageBreak/>
        <w:t>Tabel 2.1 menunjukkan keragaman kepercayaan (agama yang dianut) penduduk Provinsi Kalimantan Tengah. Penduduk yang beragama Islam memiliki proporsi terbesar yaitu 74,18 persen. Keragaman suku bangsa dan agama ini melatari budaya dan perilaku masyarakat Provinsi Kalimantan Tengah.</w:t>
      </w:r>
    </w:p>
    <w:p>
      <w:pPr>
        <w:pStyle w:val="Caption"/>
        <w:ind w:left="1418" w:hanging="1134"/>
        <w:jc w:val="both"/>
        <w:rPr>
          <w:b/>
          <w:bCs/>
          <w:i w:val="0"/>
          <w:iCs w:val="0"/>
          <w:color w:val="auto"/>
          <w:sz w:val="20"/>
          <w:szCs w:val="20"/>
        </w:rPr>
      </w:pPr>
      <w:bookmarkStart w:id="28" w:name="_Toc117260658"/>
      <w:r>
        <w:rPr>
          <w:b/>
          <w:bCs/>
          <w:i w:val="0"/>
          <w:iCs w:val="0"/>
          <w:color w:val="auto"/>
          <w:sz w:val="20"/>
          <w:szCs w:val="20"/>
        </w:rPr>
        <w:t xml:space="preserve">Tabel 2. </w:t>
      </w:r>
      <w:r>
        <w:rPr>
          <w:b/>
          <w:bCs/>
          <w:i w:val="0"/>
          <w:iCs w:val="0"/>
          <w:color w:val="auto"/>
          <w:sz w:val="20"/>
          <w:szCs w:val="20"/>
        </w:rPr>
        <w:fldChar w:fldCharType="begin"/>
      </w:r>
      <w:r>
        <w:rPr>
          <w:b/>
          <w:bCs/>
          <w:i w:val="0"/>
          <w:iCs w:val="0"/>
          <w:color w:val="auto"/>
          <w:sz w:val="20"/>
          <w:szCs w:val="20"/>
        </w:rPr>
        <w:instrText xml:space="preserve"> SEQ Tabel_2. \* ARABIC </w:instrText>
      </w:r>
      <w:r>
        <w:rPr>
          <w:b/>
          <w:bCs/>
          <w:i w:val="0"/>
          <w:iCs w:val="0"/>
          <w:color w:val="auto"/>
          <w:sz w:val="20"/>
          <w:szCs w:val="20"/>
        </w:rPr>
        <w:fldChar w:fldCharType="separate"/>
      </w:r>
      <w:r>
        <w:rPr>
          <w:b/>
          <w:bCs/>
          <w:i w:val="0"/>
          <w:iCs w:val="0"/>
          <w:noProof/>
          <w:color w:val="auto"/>
          <w:sz w:val="20"/>
          <w:szCs w:val="20"/>
        </w:rPr>
        <w:t>2</w:t>
      </w:r>
      <w:r>
        <w:rPr>
          <w:b/>
          <w:bCs/>
          <w:i w:val="0"/>
          <w:iCs w:val="0"/>
          <w:color w:val="auto"/>
          <w:sz w:val="20"/>
          <w:szCs w:val="20"/>
        </w:rPr>
        <w:fldChar w:fldCharType="end"/>
      </w:r>
      <w:r>
        <w:rPr>
          <w:b/>
          <w:bCs/>
          <w:i w:val="0"/>
          <w:iCs w:val="0"/>
          <w:color w:val="auto"/>
          <w:sz w:val="20"/>
          <w:szCs w:val="20"/>
        </w:rPr>
        <w:tab/>
      </w:r>
      <w:r>
        <w:rPr>
          <w:b/>
          <w:bCs/>
          <w:i w:val="0"/>
          <w:iCs w:val="0"/>
          <w:color w:val="auto"/>
          <w:sz w:val="20"/>
          <w:szCs w:val="20"/>
        </w:rPr>
        <w:tab/>
        <w:t>Persentase Penduduk menurut Kabupaten/Kota dan Agama, 2021</w:t>
      </w:r>
      <w:bookmarkEnd w:id="28"/>
    </w:p>
    <w:tbl>
      <w:tblPr>
        <w:tblpPr w:leftFromText="180" w:rightFromText="180" w:vertAnchor="text" w:tblpX="-51" w:tblpY="1"/>
        <w:tblOverlap w:val="never"/>
        <w:tblW w:w="6624"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FFFFF"/>
        <w:tblCellMar>
          <w:left w:w="0" w:type="dxa"/>
          <w:right w:w="0" w:type="dxa"/>
        </w:tblCellMar>
        <w:tblLook w:val="04A0" w:firstRow="1" w:lastRow="0" w:firstColumn="1" w:lastColumn="0" w:noHBand="0" w:noVBand="1"/>
      </w:tblPr>
      <w:tblGrid>
        <w:gridCol w:w="1147"/>
        <w:gridCol w:w="847"/>
        <w:gridCol w:w="883"/>
        <w:gridCol w:w="719"/>
        <w:gridCol w:w="688"/>
        <w:gridCol w:w="697"/>
        <w:gridCol w:w="994"/>
        <w:gridCol w:w="649"/>
      </w:tblGrid>
      <w:tr>
        <w:trPr>
          <w:trHeight w:val="251"/>
        </w:trPr>
        <w:tc>
          <w:tcPr>
            <w:tcW w:w="1147" w:type="dxa"/>
            <w:vMerge w:val="restart"/>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bookmarkStart w:id="29" w:name="_Hlk117260403"/>
            <w:r>
              <w:rPr>
                <w:bCs/>
                <w:kern w:val="24"/>
                <w:sz w:val="18"/>
                <w:szCs w:val="18"/>
                <w:lang w:eastAsia="id-ID"/>
              </w:rPr>
              <w:t>Kabupaten/</w:t>
            </w:r>
          </w:p>
          <w:p>
            <w:pPr>
              <w:spacing w:after="0"/>
              <w:jc w:val="center"/>
              <w:textAlignment w:val="center"/>
              <w:rPr>
                <w:sz w:val="18"/>
                <w:szCs w:val="18"/>
                <w:lang w:eastAsia="id-ID"/>
              </w:rPr>
            </w:pPr>
            <w:r>
              <w:rPr>
                <w:bCs/>
                <w:kern w:val="24"/>
                <w:sz w:val="18"/>
                <w:szCs w:val="18"/>
                <w:lang w:eastAsia="id-ID"/>
              </w:rPr>
              <w:t>Kota</w:t>
            </w:r>
          </w:p>
        </w:tc>
        <w:tc>
          <w:tcPr>
            <w:tcW w:w="5477" w:type="dxa"/>
            <w:gridSpan w:val="7"/>
            <w:shd w:val="clear" w:color="auto" w:fill="38003D"/>
            <w:tcMar>
              <w:top w:w="13" w:type="dxa"/>
              <w:left w:w="13" w:type="dxa"/>
              <w:bottom w:w="0" w:type="dxa"/>
              <w:right w:w="13" w:type="dxa"/>
            </w:tcMar>
            <w:vAlign w:val="center"/>
            <w:hideMark/>
          </w:tcPr>
          <w:p>
            <w:pPr>
              <w:spacing w:after="0"/>
              <w:jc w:val="center"/>
              <w:textAlignment w:val="center"/>
              <w:rPr>
                <w:sz w:val="18"/>
                <w:szCs w:val="18"/>
                <w:lang w:eastAsia="id-ID"/>
              </w:rPr>
            </w:pPr>
            <w:r>
              <w:rPr>
                <w:bCs/>
                <w:kern w:val="24"/>
                <w:sz w:val="18"/>
                <w:szCs w:val="18"/>
                <w:lang w:eastAsia="id-ID"/>
              </w:rPr>
              <w:t>Agama</w:t>
            </w:r>
          </w:p>
        </w:tc>
      </w:tr>
      <w:tr>
        <w:trPr>
          <w:trHeight w:val="251"/>
        </w:trPr>
        <w:tc>
          <w:tcPr>
            <w:tcW w:w="1147" w:type="dxa"/>
            <w:vMerge/>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p>
        </w:tc>
        <w:tc>
          <w:tcPr>
            <w:tcW w:w="847" w:type="dxa"/>
            <w:shd w:val="clear" w:color="auto" w:fill="38003D"/>
            <w:tcMar>
              <w:top w:w="13" w:type="dxa"/>
              <w:left w:w="13" w:type="dxa"/>
              <w:bottom w:w="0" w:type="dxa"/>
              <w:right w:w="13" w:type="dxa"/>
            </w:tcMar>
            <w:vAlign w:val="center"/>
            <w:hideMark/>
          </w:tcPr>
          <w:p>
            <w:pPr>
              <w:spacing w:after="0"/>
              <w:jc w:val="center"/>
              <w:textAlignment w:val="center"/>
              <w:rPr>
                <w:sz w:val="18"/>
                <w:szCs w:val="18"/>
                <w:lang w:eastAsia="id-ID"/>
              </w:rPr>
            </w:pPr>
            <w:r>
              <w:rPr>
                <w:bCs/>
                <w:kern w:val="24"/>
                <w:sz w:val="18"/>
                <w:szCs w:val="18"/>
                <w:lang w:eastAsia="id-ID"/>
              </w:rPr>
              <w:t>Islam</w:t>
            </w:r>
          </w:p>
        </w:tc>
        <w:tc>
          <w:tcPr>
            <w:tcW w:w="883" w:type="dxa"/>
            <w:shd w:val="clear" w:color="auto" w:fill="38003D"/>
            <w:tcMar>
              <w:top w:w="13" w:type="dxa"/>
              <w:left w:w="13" w:type="dxa"/>
              <w:bottom w:w="0" w:type="dxa"/>
              <w:right w:w="13" w:type="dxa"/>
            </w:tcMar>
            <w:vAlign w:val="center"/>
            <w:hideMark/>
          </w:tcPr>
          <w:p>
            <w:pPr>
              <w:spacing w:after="0"/>
              <w:jc w:val="center"/>
              <w:textAlignment w:val="center"/>
              <w:rPr>
                <w:sz w:val="18"/>
                <w:szCs w:val="18"/>
                <w:lang w:eastAsia="id-ID"/>
              </w:rPr>
            </w:pPr>
            <w:r>
              <w:rPr>
                <w:bCs/>
                <w:kern w:val="24"/>
                <w:sz w:val="18"/>
                <w:szCs w:val="18"/>
                <w:lang w:eastAsia="id-ID"/>
              </w:rPr>
              <w:t>Kristen</w:t>
            </w:r>
          </w:p>
        </w:tc>
        <w:tc>
          <w:tcPr>
            <w:tcW w:w="719" w:type="dxa"/>
            <w:shd w:val="clear" w:color="auto" w:fill="38003D"/>
            <w:tcMar>
              <w:top w:w="13" w:type="dxa"/>
              <w:left w:w="13" w:type="dxa"/>
              <w:bottom w:w="0" w:type="dxa"/>
              <w:right w:w="13" w:type="dxa"/>
            </w:tcMar>
            <w:vAlign w:val="center"/>
            <w:hideMark/>
          </w:tcPr>
          <w:p>
            <w:pPr>
              <w:spacing w:after="0"/>
              <w:jc w:val="center"/>
              <w:textAlignment w:val="center"/>
              <w:rPr>
                <w:sz w:val="18"/>
                <w:szCs w:val="18"/>
                <w:lang w:eastAsia="id-ID"/>
              </w:rPr>
            </w:pPr>
            <w:r>
              <w:rPr>
                <w:bCs/>
                <w:kern w:val="24"/>
                <w:sz w:val="18"/>
                <w:szCs w:val="18"/>
                <w:lang w:eastAsia="id-ID"/>
              </w:rPr>
              <w:t>Katolik</w:t>
            </w:r>
          </w:p>
        </w:tc>
        <w:tc>
          <w:tcPr>
            <w:tcW w:w="688" w:type="dxa"/>
            <w:shd w:val="clear" w:color="auto" w:fill="38003D"/>
            <w:tcMar>
              <w:top w:w="13" w:type="dxa"/>
              <w:left w:w="13" w:type="dxa"/>
              <w:bottom w:w="0" w:type="dxa"/>
              <w:right w:w="13" w:type="dxa"/>
            </w:tcMar>
            <w:vAlign w:val="center"/>
            <w:hideMark/>
          </w:tcPr>
          <w:p>
            <w:pPr>
              <w:spacing w:after="0"/>
              <w:jc w:val="center"/>
              <w:textAlignment w:val="center"/>
              <w:rPr>
                <w:sz w:val="18"/>
                <w:szCs w:val="18"/>
                <w:lang w:eastAsia="id-ID"/>
              </w:rPr>
            </w:pPr>
            <w:r>
              <w:rPr>
                <w:bCs/>
                <w:kern w:val="24"/>
                <w:sz w:val="18"/>
                <w:szCs w:val="18"/>
                <w:lang w:eastAsia="id-ID"/>
              </w:rPr>
              <w:t>Hindu</w:t>
            </w:r>
          </w:p>
        </w:tc>
        <w:tc>
          <w:tcPr>
            <w:tcW w:w="697" w:type="dxa"/>
            <w:shd w:val="clear" w:color="auto" w:fill="38003D"/>
            <w:tcMar>
              <w:top w:w="13" w:type="dxa"/>
              <w:left w:w="13" w:type="dxa"/>
              <w:bottom w:w="0" w:type="dxa"/>
              <w:right w:w="13" w:type="dxa"/>
            </w:tcMar>
            <w:vAlign w:val="center"/>
            <w:hideMark/>
          </w:tcPr>
          <w:p>
            <w:pPr>
              <w:spacing w:after="0"/>
              <w:jc w:val="center"/>
              <w:textAlignment w:val="center"/>
              <w:rPr>
                <w:sz w:val="18"/>
                <w:szCs w:val="18"/>
                <w:lang w:eastAsia="id-ID"/>
              </w:rPr>
            </w:pPr>
            <w:r>
              <w:rPr>
                <w:bCs/>
                <w:kern w:val="24"/>
                <w:sz w:val="18"/>
                <w:szCs w:val="18"/>
                <w:lang w:eastAsia="id-ID"/>
              </w:rPr>
              <w:t>Buddha</w:t>
            </w:r>
          </w:p>
        </w:tc>
        <w:tc>
          <w:tcPr>
            <w:tcW w:w="994" w:type="dxa"/>
            <w:shd w:val="clear" w:color="auto" w:fill="38003D"/>
            <w:tcMar>
              <w:top w:w="13" w:type="dxa"/>
              <w:left w:w="13" w:type="dxa"/>
              <w:bottom w:w="0" w:type="dxa"/>
              <w:right w:w="13" w:type="dxa"/>
            </w:tcMar>
            <w:vAlign w:val="center"/>
            <w:hideMark/>
          </w:tcPr>
          <w:p>
            <w:pPr>
              <w:spacing w:after="0"/>
              <w:jc w:val="center"/>
              <w:textAlignment w:val="center"/>
              <w:rPr>
                <w:sz w:val="18"/>
                <w:szCs w:val="18"/>
                <w:lang w:eastAsia="id-ID"/>
              </w:rPr>
            </w:pPr>
            <w:r>
              <w:rPr>
                <w:bCs/>
                <w:kern w:val="24"/>
                <w:sz w:val="18"/>
                <w:szCs w:val="18"/>
                <w:lang w:eastAsia="id-ID"/>
              </w:rPr>
              <w:t>Khonghucu</w:t>
            </w:r>
          </w:p>
        </w:tc>
        <w:tc>
          <w:tcPr>
            <w:tcW w:w="649" w:type="dxa"/>
            <w:shd w:val="clear" w:color="auto" w:fill="38003D"/>
            <w:tcMar>
              <w:top w:w="13" w:type="dxa"/>
              <w:left w:w="13" w:type="dxa"/>
              <w:bottom w:w="0" w:type="dxa"/>
              <w:right w:w="13" w:type="dxa"/>
            </w:tcMar>
            <w:vAlign w:val="center"/>
            <w:hideMark/>
          </w:tcPr>
          <w:p>
            <w:pPr>
              <w:spacing w:after="0"/>
              <w:jc w:val="center"/>
              <w:textAlignment w:val="center"/>
              <w:rPr>
                <w:sz w:val="18"/>
                <w:szCs w:val="18"/>
                <w:lang w:eastAsia="id-ID"/>
              </w:rPr>
            </w:pPr>
            <w:r>
              <w:rPr>
                <w:bCs/>
                <w:kern w:val="24"/>
                <w:sz w:val="18"/>
                <w:szCs w:val="18"/>
                <w:lang w:eastAsia="id-ID"/>
              </w:rPr>
              <w:t>Lainnya</w:t>
            </w:r>
          </w:p>
        </w:tc>
      </w:tr>
      <w:tr>
        <w:trPr>
          <w:trHeight w:val="143"/>
        </w:trPr>
        <w:tc>
          <w:tcPr>
            <w:tcW w:w="1147" w:type="dxa"/>
            <w:tcBorders>
              <w:bottom w:val="single" w:sz="4" w:space="0" w:color="auto"/>
            </w:tcBorders>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r>
              <w:rPr>
                <w:bCs/>
                <w:kern w:val="24"/>
                <w:sz w:val="18"/>
                <w:szCs w:val="18"/>
                <w:lang w:eastAsia="id-ID"/>
              </w:rPr>
              <w:t>(1)</w:t>
            </w:r>
          </w:p>
        </w:tc>
        <w:tc>
          <w:tcPr>
            <w:tcW w:w="847" w:type="dxa"/>
            <w:tcBorders>
              <w:bottom w:val="single" w:sz="4" w:space="0" w:color="auto"/>
            </w:tcBorders>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r>
              <w:rPr>
                <w:bCs/>
                <w:kern w:val="24"/>
                <w:sz w:val="18"/>
                <w:szCs w:val="18"/>
                <w:lang w:eastAsia="id-ID"/>
              </w:rPr>
              <w:t>(2)</w:t>
            </w:r>
          </w:p>
        </w:tc>
        <w:tc>
          <w:tcPr>
            <w:tcW w:w="883" w:type="dxa"/>
            <w:tcBorders>
              <w:bottom w:val="single" w:sz="4" w:space="0" w:color="auto"/>
            </w:tcBorders>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r>
              <w:rPr>
                <w:bCs/>
                <w:kern w:val="24"/>
                <w:sz w:val="18"/>
                <w:szCs w:val="18"/>
                <w:lang w:eastAsia="id-ID"/>
              </w:rPr>
              <w:t>(3)</w:t>
            </w:r>
          </w:p>
        </w:tc>
        <w:tc>
          <w:tcPr>
            <w:tcW w:w="719" w:type="dxa"/>
            <w:tcBorders>
              <w:bottom w:val="single" w:sz="4" w:space="0" w:color="auto"/>
            </w:tcBorders>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r>
              <w:rPr>
                <w:bCs/>
                <w:kern w:val="24"/>
                <w:sz w:val="18"/>
                <w:szCs w:val="18"/>
                <w:lang w:eastAsia="id-ID"/>
              </w:rPr>
              <w:t>(4)</w:t>
            </w:r>
          </w:p>
        </w:tc>
        <w:tc>
          <w:tcPr>
            <w:tcW w:w="688" w:type="dxa"/>
            <w:tcBorders>
              <w:bottom w:val="single" w:sz="4" w:space="0" w:color="auto"/>
            </w:tcBorders>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r>
              <w:rPr>
                <w:bCs/>
                <w:kern w:val="24"/>
                <w:sz w:val="18"/>
                <w:szCs w:val="18"/>
                <w:lang w:eastAsia="id-ID"/>
              </w:rPr>
              <w:t>(5)</w:t>
            </w:r>
          </w:p>
        </w:tc>
        <w:tc>
          <w:tcPr>
            <w:tcW w:w="697" w:type="dxa"/>
            <w:tcBorders>
              <w:bottom w:val="single" w:sz="4" w:space="0" w:color="auto"/>
            </w:tcBorders>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r>
              <w:rPr>
                <w:bCs/>
                <w:kern w:val="24"/>
                <w:sz w:val="18"/>
                <w:szCs w:val="18"/>
                <w:lang w:eastAsia="id-ID"/>
              </w:rPr>
              <w:t>(6)</w:t>
            </w:r>
          </w:p>
        </w:tc>
        <w:tc>
          <w:tcPr>
            <w:tcW w:w="994" w:type="dxa"/>
            <w:tcBorders>
              <w:bottom w:val="single" w:sz="4" w:space="0" w:color="auto"/>
            </w:tcBorders>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r>
              <w:rPr>
                <w:bCs/>
                <w:kern w:val="24"/>
                <w:sz w:val="18"/>
                <w:szCs w:val="18"/>
                <w:lang w:eastAsia="id-ID"/>
              </w:rPr>
              <w:t>(7)</w:t>
            </w:r>
          </w:p>
        </w:tc>
        <w:tc>
          <w:tcPr>
            <w:tcW w:w="649" w:type="dxa"/>
            <w:tcBorders>
              <w:bottom w:val="single" w:sz="4" w:space="0" w:color="auto"/>
            </w:tcBorders>
            <w:shd w:val="clear" w:color="auto" w:fill="38003D"/>
            <w:tcMar>
              <w:top w:w="13" w:type="dxa"/>
              <w:left w:w="13" w:type="dxa"/>
              <w:bottom w:w="0" w:type="dxa"/>
              <w:right w:w="13" w:type="dxa"/>
            </w:tcMar>
            <w:vAlign w:val="center"/>
            <w:hideMark/>
          </w:tcPr>
          <w:p>
            <w:pPr>
              <w:spacing w:after="0"/>
              <w:jc w:val="center"/>
              <w:textAlignment w:val="center"/>
              <w:rPr>
                <w:bCs/>
                <w:kern w:val="24"/>
                <w:sz w:val="18"/>
                <w:szCs w:val="18"/>
                <w:lang w:eastAsia="id-ID"/>
              </w:rPr>
            </w:pPr>
            <w:r>
              <w:rPr>
                <w:bCs/>
                <w:kern w:val="24"/>
                <w:sz w:val="18"/>
                <w:szCs w:val="18"/>
                <w:lang w:eastAsia="id-ID"/>
              </w:rPr>
              <w:t>(8)</w:t>
            </w:r>
          </w:p>
        </w:tc>
      </w:tr>
      <w:tr>
        <w:trPr>
          <w:trHeight w:val="388"/>
        </w:trPr>
        <w:tc>
          <w:tcPr>
            <w:tcW w:w="11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Kotawaringin Barat</w:t>
            </w:r>
          </w:p>
        </w:tc>
        <w:tc>
          <w:tcPr>
            <w:tcW w:w="8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250.038</w:t>
            </w:r>
          </w:p>
        </w:tc>
        <w:tc>
          <w:tcPr>
            <w:tcW w:w="883"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12.685</w:t>
            </w:r>
          </w:p>
        </w:tc>
        <w:tc>
          <w:tcPr>
            <w:tcW w:w="71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5.870</w:t>
            </w:r>
          </w:p>
        </w:tc>
        <w:tc>
          <w:tcPr>
            <w:tcW w:w="688"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3.211</w:t>
            </w:r>
          </w:p>
        </w:tc>
        <w:tc>
          <w:tcPr>
            <w:tcW w:w="69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745</w:t>
            </w:r>
          </w:p>
        </w:tc>
        <w:tc>
          <w:tcPr>
            <w:tcW w:w="99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30</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10</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Kotawaringin Timur</w:t>
            </w:r>
          </w:p>
        </w:tc>
        <w:tc>
          <w:tcPr>
            <w:tcW w:w="8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360.628</w:t>
            </w:r>
          </w:p>
        </w:tc>
        <w:tc>
          <w:tcPr>
            <w:tcW w:w="88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24.858</w:t>
            </w:r>
          </w:p>
        </w:tc>
        <w:tc>
          <w:tcPr>
            <w:tcW w:w="71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8.203</w:t>
            </w:r>
          </w:p>
        </w:tc>
        <w:tc>
          <w:tcPr>
            <w:tcW w:w="688"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21.371</w:t>
            </w:r>
          </w:p>
        </w:tc>
        <w:tc>
          <w:tcPr>
            <w:tcW w:w="69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1.225</w:t>
            </w:r>
          </w:p>
        </w:tc>
        <w:tc>
          <w:tcPr>
            <w:tcW w:w="99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94</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5</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Kapuas</w:t>
            </w:r>
          </w:p>
        </w:tc>
        <w:tc>
          <w:tcPr>
            <w:tcW w:w="8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337.460</w:t>
            </w:r>
          </w:p>
        </w:tc>
        <w:tc>
          <w:tcPr>
            <w:tcW w:w="883"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47.653</w:t>
            </w:r>
          </w:p>
        </w:tc>
        <w:tc>
          <w:tcPr>
            <w:tcW w:w="71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2.147</w:t>
            </w:r>
          </w:p>
        </w:tc>
        <w:tc>
          <w:tcPr>
            <w:tcW w:w="688"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23.163</w:t>
            </w:r>
          </w:p>
        </w:tc>
        <w:tc>
          <w:tcPr>
            <w:tcW w:w="69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46</w:t>
            </w:r>
          </w:p>
        </w:tc>
        <w:tc>
          <w:tcPr>
            <w:tcW w:w="99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696</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Barito Selatan</w:t>
            </w:r>
          </w:p>
        </w:tc>
        <w:tc>
          <w:tcPr>
            <w:tcW w:w="8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93.825</w:t>
            </w:r>
          </w:p>
        </w:tc>
        <w:tc>
          <w:tcPr>
            <w:tcW w:w="88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24.869</w:t>
            </w:r>
          </w:p>
        </w:tc>
        <w:tc>
          <w:tcPr>
            <w:tcW w:w="71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9.116</w:t>
            </w:r>
          </w:p>
        </w:tc>
        <w:tc>
          <w:tcPr>
            <w:tcW w:w="688"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4.414</w:t>
            </w:r>
          </w:p>
        </w:tc>
        <w:tc>
          <w:tcPr>
            <w:tcW w:w="69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w:t>
            </w:r>
          </w:p>
        </w:tc>
        <w:tc>
          <w:tcPr>
            <w:tcW w:w="99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5</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3</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Barito Utara</w:t>
            </w:r>
          </w:p>
        </w:tc>
        <w:tc>
          <w:tcPr>
            <w:tcW w:w="8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115.030</w:t>
            </w:r>
          </w:p>
        </w:tc>
        <w:tc>
          <w:tcPr>
            <w:tcW w:w="883"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16.414</w:t>
            </w:r>
          </w:p>
        </w:tc>
        <w:tc>
          <w:tcPr>
            <w:tcW w:w="71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8.946</w:t>
            </w:r>
          </w:p>
        </w:tc>
        <w:tc>
          <w:tcPr>
            <w:tcW w:w="688"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16.782</w:t>
            </w:r>
          </w:p>
        </w:tc>
        <w:tc>
          <w:tcPr>
            <w:tcW w:w="69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44</w:t>
            </w:r>
          </w:p>
        </w:tc>
        <w:tc>
          <w:tcPr>
            <w:tcW w:w="99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6</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38</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Sukamara</w:t>
            </w:r>
          </w:p>
        </w:tc>
        <w:tc>
          <w:tcPr>
            <w:tcW w:w="8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104.941</w:t>
            </w:r>
          </w:p>
        </w:tc>
        <w:tc>
          <w:tcPr>
            <w:tcW w:w="88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31.512</w:t>
            </w:r>
          </w:p>
        </w:tc>
        <w:tc>
          <w:tcPr>
            <w:tcW w:w="71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3.211</w:t>
            </w:r>
          </w:p>
        </w:tc>
        <w:tc>
          <w:tcPr>
            <w:tcW w:w="688"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28.681</w:t>
            </w:r>
          </w:p>
        </w:tc>
        <w:tc>
          <w:tcPr>
            <w:tcW w:w="69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16</w:t>
            </w:r>
          </w:p>
        </w:tc>
        <w:tc>
          <w:tcPr>
            <w:tcW w:w="99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Lamandau</w:t>
            </w:r>
          </w:p>
        </w:tc>
        <w:tc>
          <w:tcPr>
            <w:tcW w:w="8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128.537</w:t>
            </w:r>
          </w:p>
        </w:tc>
        <w:tc>
          <w:tcPr>
            <w:tcW w:w="883"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8.420</w:t>
            </w:r>
          </w:p>
        </w:tc>
        <w:tc>
          <w:tcPr>
            <w:tcW w:w="71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5.398</w:t>
            </w:r>
          </w:p>
        </w:tc>
        <w:tc>
          <w:tcPr>
            <w:tcW w:w="688"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6.824</w:t>
            </w:r>
          </w:p>
        </w:tc>
        <w:tc>
          <w:tcPr>
            <w:tcW w:w="69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61</w:t>
            </w:r>
          </w:p>
        </w:tc>
        <w:tc>
          <w:tcPr>
            <w:tcW w:w="99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4</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2</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Seruyan</w:t>
            </w:r>
          </w:p>
        </w:tc>
        <w:tc>
          <w:tcPr>
            <w:tcW w:w="8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51.189</w:t>
            </w:r>
          </w:p>
        </w:tc>
        <w:tc>
          <w:tcPr>
            <w:tcW w:w="88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5.090</w:t>
            </w:r>
          </w:p>
        </w:tc>
        <w:tc>
          <w:tcPr>
            <w:tcW w:w="71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2.399</w:t>
            </w:r>
          </w:p>
        </w:tc>
        <w:tc>
          <w:tcPr>
            <w:tcW w:w="688"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3.438</w:t>
            </w:r>
          </w:p>
        </w:tc>
        <w:tc>
          <w:tcPr>
            <w:tcW w:w="69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122</w:t>
            </w:r>
          </w:p>
        </w:tc>
        <w:tc>
          <w:tcPr>
            <w:tcW w:w="99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24</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Katingan</w:t>
            </w:r>
          </w:p>
        </w:tc>
        <w:tc>
          <w:tcPr>
            <w:tcW w:w="8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58.677</w:t>
            </w:r>
          </w:p>
        </w:tc>
        <w:tc>
          <w:tcPr>
            <w:tcW w:w="883"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23.476</w:t>
            </w:r>
          </w:p>
        </w:tc>
        <w:tc>
          <w:tcPr>
            <w:tcW w:w="71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15.925</w:t>
            </w:r>
          </w:p>
        </w:tc>
        <w:tc>
          <w:tcPr>
            <w:tcW w:w="688"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3.230</w:t>
            </w:r>
          </w:p>
        </w:tc>
        <w:tc>
          <w:tcPr>
            <w:tcW w:w="69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63</w:t>
            </w:r>
          </w:p>
        </w:tc>
        <w:tc>
          <w:tcPr>
            <w:tcW w:w="99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3</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Pulang Pisau</w:t>
            </w:r>
          </w:p>
        </w:tc>
        <w:tc>
          <w:tcPr>
            <w:tcW w:w="8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26.221</w:t>
            </w:r>
          </w:p>
        </w:tc>
        <w:tc>
          <w:tcPr>
            <w:tcW w:w="88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84.546</w:t>
            </w:r>
          </w:p>
        </w:tc>
        <w:tc>
          <w:tcPr>
            <w:tcW w:w="71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2.724</w:t>
            </w:r>
          </w:p>
        </w:tc>
        <w:tc>
          <w:tcPr>
            <w:tcW w:w="688"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17.015</w:t>
            </w:r>
          </w:p>
        </w:tc>
        <w:tc>
          <w:tcPr>
            <w:tcW w:w="69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8</w:t>
            </w:r>
          </w:p>
        </w:tc>
        <w:tc>
          <w:tcPr>
            <w:tcW w:w="99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59</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Gunung Mas</w:t>
            </w:r>
          </w:p>
        </w:tc>
        <w:tc>
          <w:tcPr>
            <w:tcW w:w="8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104.999</w:t>
            </w:r>
          </w:p>
        </w:tc>
        <w:tc>
          <w:tcPr>
            <w:tcW w:w="883"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26.716</w:t>
            </w:r>
          </w:p>
        </w:tc>
        <w:tc>
          <w:tcPr>
            <w:tcW w:w="71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1.491</w:t>
            </w:r>
          </w:p>
        </w:tc>
        <w:tc>
          <w:tcPr>
            <w:tcW w:w="688"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2.526</w:t>
            </w:r>
          </w:p>
        </w:tc>
        <w:tc>
          <w:tcPr>
            <w:tcW w:w="69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6</w:t>
            </w:r>
          </w:p>
        </w:tc>
        <w:tc>
          <w:tcPr>
            <w:tcW w:w="99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9</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Barito Timur</w:t>
            </w:r>
          </w:p>
        </w:tc>
        <w:tc>
          <w:tcPr>
            <w:tcW w:w="8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73.665</w:t>
            </w:r>
          </w:p>
        </w:tc>
        <w:tc>
          <w:tcPr>
            <w:tcW w:w="88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18.978</w:t>
            </w:r>
          </w:p>
        </w:tc>
        <w:tc>
          <w:tcPr>
            <w:tcW w:w="71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6.203</w:t>
            </w:r>
          </w:p>
        </w:tc>
        <w:tc>
          <w:tcPr>
            <w:tcW w:w="688"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12.597</w:t>
            </w:r>
          </w:p>
        </w:tc>
        <w:tc>
          <w:tcPr>
            <w:tcW w:w="69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6</w:t>
            </w:r>
          </w:p>
        </w:tc>
        <w:tc>
          <w:tcPr>
            <w:tcW w:w="99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1</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Murung Raya</w:t>
            </w:r>
          </w:p>
        </w:tc>
        <w:tc>
          <w:tcPr>
            <w:tcW w:w="84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58.473</w:t>
            </w:r>
          </w:p>
        </w:tc>
        <w:tc>
          <w:tcPr>
            <w:tcW w:w="883"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41.718</w:t>
            </w:r>
          </w:p>
        </w:tc>
        <w:tc>
          <w:tcPr>
            <w:tcW w:w="71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9.903</w:t>
            </w:r>
          </w:p>
        </w:tc>
        <w:tc>
          <w:tcPr>
            <w:tcW w:w="688"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4.648</w:t>
            </w:r>
          </w:p>
        </w:tc>
        <w:tc>
          <w:tcPr>
            <w:tcW w:w="69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19</w:t>
            </w:r>
          </w:p>
        </w:tc>
        <w:tc>
          <w:tcPr>
            <w:tcW w:w="99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5</w:t>
            </w:r>
          </w:p>
        </w:tc>
      </w:tr>
      <w:tr>
        <w:trPr>
          <w:trHeight w:val="215"/>
        </w:trPr>
        <w:tc>
          <w:tcPr>
            <w:tcW w:w="11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bottom w:w="0" w:type="dxa"/>
            </w:tcMar>
            <w:vAlign w:val="center"/>
            <w:hideMark/>
          </w:tcPr>
          <w:p>
            <w:pPr>
              <w:spacing w:after="0"/>
              <w:ind w:left="13"/>
              <w:textAlignment w:val="bottom"/>
              <w:rPr>
                <w:sz w:val="18"/>
                <w:szCs w:val="18"/>
                <w:lang w:eastAsia="id-ID"/>
              </w:rPr>
            </w:pPr>
            <w:r>
              <w:rPr>
                <w:bCs/>
                <w:kern w:val="24"/>
                <w:sz w:val="18"/>
                <w:szCs w:val="18"/>
                <w:lang w:eastAsia="id-ID"/>
              </w:rPr>
              <w:t>Palangka Raya</w:t>
            </w:r>
          </w:p>
        </w:tc>
        <w:tc>
          <w:tcPr>
            <w:tcW w:w="84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206.980</w:t>
            </w:r>
          </w:p>
        </w:tc>
        <w:tc>
          <w:tcPr>
            <w:tcW w:w="88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3" w:type="dxa"/>
              <w:left w:w="151" w:type="dxa"/>
              <w:bottom w:w="0" w:type="dxa"/>
              <w:right w:w="13" w:type="dxa"/>
            </w:tcMar>
            <w:vAlign w:val="center"/>
          </w:tcPr>
          <w:p>
            <w:pPr>
              <w:spacing w:after="0"/>
              <w:ind w:right="113"/>
              <w:jc w:val="center"/>
              <w:textAlignment w:val="bottom"/>
              <w:rPr>
                <w:sz w:val="18"/>
                <w:szCs w:val="18"/>
                <w:lang w:eastAsia="id-ID"/>
              </w:rPr>
            </w:pPr>
            <w:r>
              <w:rPr>
                <w:sz w:val="18"/>
                <w:szCs w:val="18"/>
                <w:lang w:eastAsia="id-ID"/>
              </w:rPr>
              <w:t>76.144</w:t>
            </w:r>
          </w:p>
        </w:tc>
        <w:tc>
          <w:tcPr>
            <w:tcW w:w="71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5.791</w:t>
            </w:r>
          </w:p>
        </w:tc>
        <w:tc>
          <w:tcPr>
            <w:tcW w:w="688"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3.569</w:t>
            </w:r>
          </w:p>
        </w:tc>
        <w:tc>
          <w:tcPr>
            <w:tcW w:w="69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506</w:t>
            </w:r>
          </w:p>
        </w:tc>
        <w:tc>
          <w:tcPr>
            <w:tcW w:w="99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jc w:val="center"/>
              <w:textAlignment w:val="bottom"/>
              <w:rPr>
                <w:sz w:val="18"/>
                <w:szCs w:val="18"/>
                <w:lang w:eastAsia="id-ID"/>
              </w:rPr>
            </w:pPr>
            <w:r>
              <w:rPr>
                <w:sz w:val="18"/>
                <w:szCs w:val="18"/>
                <w:lang w:eastAsia="id-ID"/>
              </w:rPr>
              <w:t>8</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5" w:type="dxa"/>
              <w:left w:w="15" w:type="dxa"/>
              <w:bottom w:w="0" w:type="dxa"/>
              <w:right w:w="15" w:type="dxa"/>
            </w:tcMar>
            <w:vAlign w:val="center"/>
          </w:tcPr>
          <w:p>
            <w:pPr>
              <w:spacing w:after="0"/>
              <w:ind w:right="113"/>
              <w:jc w:val="center"/>
              <w:textAlignment w:val="bottom"/>
              <w:rPr>
                <w:sz w:val="18"/>
                <w:szCs w:val="18"/>
                <w:lang w:eastAsia="id-ID"/>
              </w:rPr>
            </w:pPr>
            <w:r>
              <w:rPr>
                <w:sz w:val="18"/>
                <w:szCs w:val="18"/>
                <w:lang w:eastAsia="id-ID"/>
              </w:rPr>
              <w:t>25</w:t>
            </w:r>
          </w:p>
        </w:tc>
      </w:tr>
      <w:tr>
        <w:trPr>
          <w:trHeight w:val="251"/>
        </w:trPr>
        <w:tc>
          <w:tcPr>
            <w:tcW w:w="1147" w:type="dxa"/>
            <w:tcBorders>
              <w:top w:val="single" w:sz="4" w:space="0" w:color="auto"/>
              <w:left w:val="single" w:sz="4" w:space="0" w:color="auto"/>
              <w:bottom w:val="single" w:sz="4" w:space="0" w:color="auto"/>
              <w:right w:val="single" w:sz="4" w:space="0" w:color="auto"/>
            </w:tcBorders>
            <w:shd w:val="clear" w:color="auto" w:fill="EAF1DD"/>
            <w:tcMar>
              <w:top w:w="13" w:type="dxa"/>
              <w:left w:w="13" w:type="dxa"/>
              <w:bottom w:w="0" w:type="dxa"/>
              <w:right w:w="13" w:type="dxa"/>
            </w:tcMar>
            <w:vAlign w:val="center"/>
            <w:hideMark/>
          </w:tcPr>
          <w:p>
            <w:pPr>
              <w:spacing w:after="0"/>
              <w:textAlignment w:val="bottom"/>
              <w:rPr>
                <w:sz w:val="18"/>
                <w:szCs w:val="18"/>
                <w:lang w:eastAsia="id-ID"/>
              </w:rPr>
            </w:pPr>
            <w:r>
              <w:rPr>
                <w:bCs/>
                <w:kern w:val="24"/>
                <w:sz w:val="18"/>
                <w:szCs w:val="18"/>
                <w:lang w:eastAsia="id-ID"/>
              </w:rPr>
              <w:t>Kalimantan Tengah</w:t>
            </w:r>
          </w:p>
        </w:tc>
        <w:tc>
          <w:tcPr>
            <w:tcW w:w="847" w:type="dxa"/>
            <w:tcBorders>
              <w:top w:val="single" w:sz="4" w:space="0" w:color="auto"/>
              <w:left w:val="single" w:sz="4" w:space="0" w:color="auto"/>
              <w:bottom w:val="single" w:sz="4" w:space="0" w:color="auto"/>
              <w:right w:val="single" w:sz="4" w:space="0" w:color="auto"/>
            </w:tcBorders>
            <w:shd w:val="clear" w:color="auto" w:fill="EAF1DD"/>
            <w:tcMar>
              <w:top w:w="15" w:type="dxa"/>
              <w:left w:w="15" w:type="dxa"/>
              <w:bottom w:w="0" w:type="dxa"/>
              <w:right w:w="15" w:type="dxa"/>
            </w:tcMar>
            <w:vAlign w:val="center"/>
          </w:tcPr>
          <w:p>
            <w:pPr>
              <w:spacing w:after="0"/>
              <w:jc w:val="center"/>
              <w:textAlignment w:val="bottom"/>
              <w:rPr>
                <w:b/>
                <w:bCs/>
                <w:sz w:val="18"/>
                <w:szCs w:val="18"/>
                <w:lang w:eastAsia="id-ID"/>
              </w:rPr>
            </w:pPr>
            <w:r>
              <w:rPr>
                <w:b/>
                <w:bCs/>
                <w:sz w:val="18"/>
                <w:szCs w:val="18"/>
                <w:lang w:eastAsia="id-ID"/>
              </w:rPr>
              <w:t>1.970.663</w:t>
            </w:r>
          </w:p>
        </w:tc>
        <w:tc>
          <w:tcPr>
            <w:tcW w:w="883" w:type="dxa"/>
            <w:tcBorders>
              <w:top w:val="single" w:sz="4" w:space="0" w:color="auto"/>
              <w:left w:val="single" w:sz="4" w:space="0" w:color="auto"/>
              <w:bottom w:val="single" w:sz="4" w:space="0" w:color="auto"/>
              <w:right w:val="single" w:sz="4" w:space="0" w:color="auto"/>
            </w:tcBorders>
            <w:shd w:val="clear" w:color="auto" w:fill="EAF1DD"/>
            <w:tcMar>
              <w:top w:w="13" w:type="dxa"/>
              <w:left w:w="13" w:type="dxa"/>
              <w:bottom w:w="0" w:type="dxa"/>
              <w:right w:w="13" w:type="dxa"/>
            </w:tcMar>
            <w:vAlign w:val="center"/>
          </w:tcPr>
          <w:p>
            <w:pPr>
              <w:spacing w:after="0"/>
              <w:ind w:right="113"/>
              <w:jc w:val="center"/>
              <w:textAlignment w:val="bottom"/>
              <w:rPr>
                <w:b/>
                <w:bCs/>
                <w:sz w:val="18"/>
                <w:szCs w:val="18"/>
                <w:lang w:eastAsia="id-ID"/>
              </w:rPr>
            </w:pPr>
            <w:r>
              <w:rPr>
                <w:b/>
                <w:bCs/>
                <w:sz w:val="18"/>
                <w:szCs w:val="18"/>
                <w:lang w:eastAsia="id-ID"/>
              </w:rPr>
              <w:t>443.079</w:t>
            </w:r>
          </w:p>
        </w:tc>
        <w:tc>
          <w:tcPr>
            <w:tcW w:w="719" w:type="dxa"/>
            <w:tcBorders>
              <w:top w:val="single" w:sz="4" w:space="0" w:color="auto"/>
              <w:left w:val="single" w:sz="4" w:space="0" w:color="auto"/>
              <w:bottom w:val="single" w:sz="4" w:space="0" w:color="auto"/>
              <w:right w:val="single" w:sz="4" w:space="0" w:color="auto"/>
            </w:tcBorders>
            <w:shd w:val="clear" w:color="auto" w:fill="EAF1DD"/>
            <w:tcMar>
              <w:top w:w="13" w:type="dxa"/>
              <w:left w:w="13" w:type="dxa"/>
              <w:bottom w:w="0" w:type="dxa"/>
              <w:right w:w="13" w:type="dxa"/>
            </w:tcMar>
            <w:vAlign w:val="center"/>
          </w:tcPr>
          <w:p>
            <w:pPr>
              <w:spacing w:after="0"/>
              <w:ind w:right="113"/>
              <w:jc w:val="center"/>
              <w:textAlignment w:val="bottom"/>
              <w:rPr>
                <w:b/>
                <w:bCs/>
                <w:sz w:val="18"/>
                <w:szCs w:val="18"/>
                <w:lang w:eastAsia="id-ID"/>
              </w:rPr>
            </w:pPr>
            <w:r>
              <w:rPr>
                <w:b/>
                <w:bCs/>
                <w:sz w:val="18"/>
                <w:szCs w:val="18"/>
                <w:lang w:eastAsia="id-ID"/>
              </w:rPr>
              <w:t>87.327</w:t>
            </w:r>
          </w:p>
        </w:tc>
        <w:tc>
          <w:tcPr>
            <w:tcW w:w="688" w:type="dxa"/>
            <w:tcBorders>
              <w:top w:val="single" w:sz="4" w:space="0" w:color="auto"/>
              <w:left w:val="single" w:sz="4" w:space="0" w:color="auto"/>
              <w:bottom w:val="single" w:sz="4" w:space="0" w:color="auto"/>
              <w:right w:val="single" w:sz="4" w:space="0" w:color="auto"/>
            </w:tcBorders>
            <w:shd w:val="clear" w:color="auto" w:fill="EAF1DD"/>
            <w:tcMar>
              <w:top w:w="13" w:type="dxa"/>
              <w:left w:w="13" w:type="dxa"/>
              <w:bottom w:w="0" w:type="dxa"/>
              <w:right w:w="13" w:type="dxa"/>
            </w:tcMar>
            <w:vAlign w:val="center"/>
          </w:tcPr>
          <w:p>
            <w:pPr>
              <w:spacing w:after="0"/>
              <w:jc w:val="center"/>
              <w:textAlignment w:val="bottom"/>
              <w:rPr>
                <w:b/>
                <w:bCs/>
                <w:sz w:val="18"/>
                <w:szCs w:val="18"/>
                <w:lang w:eastAsia="id-ID"/>
              </w:rPr>
            </w:pPr>
            <w:r>
              <w:rPr>
                <w:b/>
                <w:bCs/>
                <w:sz w:val="18"/>
                <w:szCs w:val="18"/>
                <w:lang w:eastAsia="id-ID"/>
              </w:rPr>
              <w:t>151.469</w:t>
            </w:r>
          </w:p>
        </w:tc>
        <w:tc>
          <w:tcPr>
            <w:tcW w:w="697" w:type="dxa"/>
            <w:tcBorders>
              <w:top w:val="single" w:sz="4" w:space="0" w:color="auto"/>
              <w:left w:val="single" w:sz="4" w:space="0" w:color="auto"/>
              <w:bottom w:val="single" w:sz="4" w:space="0" w:color="auto"/>
              <w:right w:val="single" w:sz="4" w:space="0" w:color="auto"/>
            </w:tcBorders>
            <w:shd w:val="clear" w:color="auto" w:fill="EAF1DD"/>
            <w:tcMar>
              <w:top w:w="13" w:type="dxa"/>
              <w:left w:w="13" w:type="dxa"/>
              <w:bottom w:w="0" w:type="dxa"/>
              <w:right w:w="13" w:type="dxa"/>
            </w:tcMar>
            <w:vAlign w:val="center"/>
          </w:tcPr>
          <w:p>
            <w:pPr>
              <w:spacing w:after="0"/>
              <w:jc w:val="center"/>
              <w:textAlignment w:val="bottom"/>
              <w:rPr>
                <w:b/>
                <w:bCs/>
                <w:sz w:val="18"/>
                <w:szCs w:val="18"/>
                <w:lang w:eastAsia="id-ID"/>
              </w:rPr>
            </w:pPr>
            <w:r>
              <w:rPr>
                <w:b/>
                <w:bCs/>
                <w:sz w:val="18"/>
                <w:szCs w:val="18"/>
                <w:lang w:eastAsia="id-ID"/>
              </w:rPr>
              <w:t>2.870</w:t>
            </w:r>
          </w:p>
        </w:tc>
        <w:tc>
          <w:tcPr>
            <w:tcW w:w="994" w:type="dxa"/>
            <w:tcBorders>
              <w:top w:val="single" w:sz="4" w:space="0" w:color="auto"/>
              <w:left w:val="single" w:sz="4" w:space="0" w:color="auto"/>
              <w:bottom w:val="single" w:sz="4" w:space="0" w:color="auto"/>
              <w:right w:val="single" w:sz="4" w:space="0" w:color="auto"/>
            </w:tcBorders>
            <w:shd w:val="clear" w:color="auto" w:fill="EAF1DD"/>
            <w:tcMar>
              <w:top w:w="13" w:type="dxa"/>
              <w:left w:w="13" w:type="dxa"/>
              <w:bottom w:w="0" w:type="dxa"/>
              <w:right w:w="13" w:type="dxa"/>
            </w:tcMar>
            <w:vAlign w:val="center"/>
          </w:tcPr>
          <w:p>
            <w:pPr>
              <w:spacing w:after="0"/>
              <w:jc w:val="center"/>
              <w:textAlignment w:val="bottom"/>
              <w:rPr>
                <w:b/>
                <w:bCs/>
                <w:sz w:val="18"/>
                <w:szCs w:val="18"/>
                <w:lang w:eastAsia="id-ID"/>
              </w:rPr>
            </w:pPr>
            <w:r>
              <w:rPr>
                <w:b/>
                <w:bCs/>
                <w:sz w:val="18"/>
                <w:szCs w:val="18"/>
                <w:lang w:eastAsia="id-ID"/>
              </w:rPr>
              <w:t>178</w:t>
            </w:r>
          </w:p>
        </w:tc>
        <w:tc>
          <w:tcPr>
            <w:tcW w:w="649" w:type="dxa"/>
            <w:tcBorders>
              <w:top w:val="single" w:sz="4" w:space="0" w:color="auto"/>
              <w:left w:val="single" w:sz="4" w:space="0" w:color="auto"/>
              <w:bottom w:val="single" w:sz="4" w:space="0" w:color="auto"/>
              <w:right w:val="single" w:sz="4" w:space="0" w:color="auto"/>
            </w:tcBorders>
            <w:shd w:val="clear" w:color="auto" w:fill="EAF1DD"/>
            <w:tcMar>
              <w:top w:w="13" w:type="dxa"/>
              <w:left w:w="13" w:type="dxa"/>
              <w:bottom w:w="0" w:type="dxa"/>
              <w:right w:w="13" w:type="dxa"/>
            </w:tcMar>
            <w:vAlign w:val="center"/>
          </w:tcPr>
          <w:p>
            <w:pPr>
              <w:spacing w:after="0"/>
              <w:ind w:right="113"/>
              <w:jc w:val="center"/>
              <w:textAlignment w:val="bottom"/>
              <w:rPr>
                <w:b/>
                <w:bCs/>
                <w:sz w:val="18"/>
                <w:szCs w:val="18"/>
                <w:lang w:eastAsia="id-ID"/>
              </w:rPr>
            </w:pPr>
            <w:r>
              <w:rPr>
                <w:b/>
                <w:bCs/>
                <w:sz w:val="18"/>
                <w:szCs w:val="18"/>
                <w:lang w:eastAsia="id-ID"/>
              </w:rPr>
              <w:t>856</w:t>
            </w:r>
          </w:p>
        </w:tc>
      </w:tr>
    </w:tbl>
    <w:bookmarkEnd w:id="29"/>
    <w:p>
      <w:pPr>
        <w:tabs>
          <w:tab w:val="left" w:pos="1134"/>
        </w:tabs>
        <w:jc w:val="both"/>
        <w:rPr>
          <w:rFonts w:cs="Tahoma"/>
          <w:sz w:val="18"/>
          <w:szCs w:val="18"/>
        </w:rPr>
      </w:pPr>
      <w:r>
        <w:rPr>
          <w:i/>
          <w:iCs/>
          <w:sz w:val="18"/>
          <w:szCs w:val="18"/>
        </w:rPr>
        <w:t>Sumber : Dinas Kependudukan dan Pencatatan Sipil Provinsi Kalimantan Tengah (dalam Kalimantan Tengah dalam Angka 2022, BPS 2022)</w:t>
      </w:r>
    </w:p>
    <w:p>
      <w:pPr>
        <w:pStyle w:val="BodyText"/>
        <w:widowControl w:val="0"/>
        <w:spacing w:after="0"/>
        <w:ind w:left="1170" w:right="55" w:hanging="1170"/>
        <w:jc w:val="both"/>
        <w:rPr>
          <w:rFonts w:asciiTheme="minorHAnsi" w:hAnsiTheme="minorHAnsi" w:cstheme="minorHAnsi"/>
          <w:color w:val="C00000"/>
        </w:rPr>
      </w:pPr>
      <w:r>
        <w:rPr>
          <w:noProof/>
          <w:lang w:val="en-ID" w:eastAsia="en-ID"/>
        </w:rPr>
        <w:lastRenderedPageBreak/>
        <mc:AlternateContent>
          <mc:Choice Requires="wps">
            <w:drawing>
              <wp:anchor distT="0" distB="0" distL="114300" distR="114300" simplePos="0" relativeHeight="251785728" behindDoc="0" locked="0" layoutInCell="1" allowOverlap="1">
                <wp:simplePos x="0" y="0"/>
                <wp:positionH relativeFrom="page">
                  <wp:align>right</wp:align>
                </wp:positionH>
                <wp:positionV relativeFrom="paragraph">
                  <wp:posOffset>-901411</wp:posOffset>
                </wp:positionV>
                <wp:extent cx="5319716" cy="866899"/>
                <wp:effectExtent l="0" t="0" r="14605" b="28575"/>
                <wp:wrapNone/>
                <wp:docPr id="8203" name="Rectangle 8203"/>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3ADD1" id="Rectangle 8203" o:spid="_x0000_s1026" style="position:absolute;margin-left:367.7pt;margin-top:-71pt;width:418.9pt;height:68.25pt;z-index:2517857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" fillcolor="white [3212]" strokecolor="white [3212]" strokeweight="2pt">
                <w10:wrap anchorx="page"/>
              </v:rect>
            </w:pict>
          </mc:Fallback>
        </mc:AlternateContent>
      </w:r>
      <w:r>
        <w:rPr>
          <w:rFonts w:asciiTheme="minorHAnsi" w:hAnsiTheme="minorHAnsi" w:cstheme="minorHAnsi"/>
          <w:b/>
          <w:bCs/>
          <w:color w:val="C00000"/>
          <w:sz w:val="22"/>
          <w:szCs w:val="22"/>
        </w:rPr>
        <w:tab/>
      </w:r>
    </w:p>
    <w:p>
      <w:pPr>
        <w:pStyle w:val="BodyText"/>
        <w:widowControl w:val="0"/>
        <w:spacing w:after="0" w:line="360" w:lineRule="auto"/>
        <w:ind w:right="55"/>
        <w:jc w:val="both"/>
        <w:rPr>
          <w:rFonts w:asciiTheme="minorHAnsi" w:hAnsiTheme="minorHAnsi" w:cstheme="minorHAnsi"/>
          <w:color w:val="C00000"/>
          <w:sz w:val="22"/>
          <w:szCs w:val="24"/>
          <w:lang w:val="en-US"/>
        </w:rPr>
      </w:pPr>
    </w:p>
    <w:p>
      <w:pPr>
        <w:jc w:val="both"/>
        <w:rPr>
          <w:rFonts w:cstheme="minorHAnsi"/>
          <w:color w:val="C00000"/>
          <w:sz w:val="20"/>
          <w:szCs w:val="20"/>
          <w:lang w:val="en-US"/>
        </w:rPr>
      </w:pPr>
    </w:p>
    <w:p>
      <w:pPr>
        <w:jc w:val="both"/>
        <w:rPr>
          <w:rFonts w:cstheme="minorHAnsi"/>
          <w:color w:val="C00000"/>
          <w:sz w:val="20"/>
          <w:szCs w:val="20"/>
          <w:lang w:val="en-US"/>
        </w:rPr>
      </w:pPr>
    </w:p>
    <w:p>
      <w:pPr>
        <w:jc w:val="both"/>
        <w:rPr>
          <w:rFonts w:cstheme="minorHAnsi"/>
          <w:color w:val="C00000"/>
          <w:sz w:val="20"/>
          <w:szCs w:val="20"/>
          <w:lang w:val="en-US"/>
        </w:rPr>
      </w:pPr>
    </w:p>
    <w:p>
      <w:pPr>
        <w:jc w:val="both"/>
        <w:rPr>
          <w:rFonts w:cstheme="minorHAnsi"/>
          <w:color w:val="C00000"/>
          <w:sz w:val="20"/>
          <w:szCs w:val="20"/>
          <w:lang w:val="en-US"/>
        </w:rPr>
      </w:pPr>
    </w:p>
    <w:p>
      <w:pPr>
        <w:jc w:val="both"/>
        <w:rPr>
          <w:rFonts w:cstheme="minorHAnsi"/>
          <w:color w:val="C00000"/>
          <w:sz w:val="20"/>
          <w:szCs w:val="20"/>
          <w:lang w:val="en-US"/>
        </w:rPr>
      </w:pPr>
    </w:p>
    <w:p>
      <w:pPr>
        <w:jc w:val="both"/>
        <w:rPr>
          <w:rFonts w:cstheme="minorHAnsi"/>
          <w:color w:val="C00000"/>
          <w:sz w:val="20"/>
          <w:szCs w:val="20"/>
          <w:lang w:val="en-US"/>
        </w:rPr>
      </w:pPr>
    </w:p>
    <w:p>
      <w:pPr>
        <w:jc w:val="both"/>
        <w:rPr>
          <w:rFonts w:cstheme="minorHAnsi"/>
          <w:b/>
          <w:noProof/>
          <w:color w:val="C00000"/>
          <w:spacing w:val="-6"/>
          <w:sz w:val="44"/>
          <w:szCs w:val="24"/>
          <w:lang w:val="en-US" w:eastAsia="id-ID"/>
        </w:rPr>
      </w:pPr>
      <w:r>
        <w:rPr>
          <w:noProof/>
          <w:lang w:val="en-ID" w:eastAsia="en-ID"/>
        </w:rPr>
        <mc:AlternateContent>
          <mc:Choice Requires="wps">
            <w:drawing>
              <wp:anchor distT="0" distB="0" distL="114300" distR="114300" simplePos="0" relativeHeight="251787776" behindDoc="0" locked="0" layoutInCell="1" allowOverlap="1">
                <wp:simplePos x="0" y="0"/>
                <wp:positionH relativeFrom="margin">
                  <wp:posOffset>-560705</wp:posOffset>
                </wp:positionH>
                <wp:positionV relativeFrom="paragraph">
                  <wp:posOffset>3475800</wp:posOffset>
                </wp:positionV>
                <wp:extent cx="5319716" cy="866899"/>
                <wp:effectExtent l="0" t="0" r="14605" b="28575"/>
                <wp:wrapNone/>
                <wp:docPr id="8204" name="Rectangle 8204"/>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CB0FA4" id="Rectangle 8204" o:spid="_x0000_s1026" style="position:absolute;margin-left:-44.15pt;margin-top:273.7pt;width:418.9pt;height:68.25pt;z-index:251787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" fillcolor="white [3212]" strokecolor="white [3212]" strokeweight="2pt">
                <w10:wrap anchorx="margin"/>
              </v:rect>
            </w:pict>
          </mc:Fallback>
        </mc:AlternateContent>
      </w:r>
      <w:r>
        <w:rPr>
          <w:noProof/>
          <w:lang w:val="en-ID" w:eastAsia="en-ID"/>
        </w:rPr>
        <mc:AlternateContent>
          <mc:Choice Requires="wps">
            <w:drawing>
              <wp:anchor distT="0" distB="0" distL="114300" distR="114300" simplePos="0" relativeHeight="251661824" behindDoc="0" locked="0" layoutInCell="1" allowOverlap="1">
                <wp:simplePos x="0" y="0"/>
                <wp:positionH relativeFrom="column">
                  <wp:posOffset>-935355</wp:posOffset>
                </wp:positionH>
                <wp:positionV relativeFrom="paragraph">
                  <wp:posOffset>6527800</wp:posOffset>
                </wp:positionV>
                <wp:extent cx="6900545" cy="1787525"/>
                <wp:effectExtent l="0" t="0" r="0" b="31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0545" cy="1787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095FBA" id="Rectangle 34" o:spid="_x0000_s1026" style="position:absolute;margin-left:-73.65pt;margin-top:514pt;width:543.35pt;height:14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" fillcolor="white [3212]" strokecolor="white [3212]" strokeweight="2pt">
                <v:path arrowok="t"/>
              </v:rect>
            </w:pict>
          </mc:Fallback>
        </mc:AlternateContent>
      </w:r>
      <w:r>
        <w:rPr>
          <w:rFonts w:cstheme="minorHAnsi"/>
          <w:b/>
          <w:noProof/>
          <w:color w:val="C00000"/>
          <w:spacing w:val="-6"/>
          <w:sz w:val="44"/>
          <w:szCs w:val="24"/>
          <w:lang w:val="en-US" w:eastAsia="id-ID"/>
        </w:rPr>
        <w:br w:type="page"/>
      </w:r>
    </w:p>
    <w:p>
      <w:pPr>
        <w:jc w:val="both"/>
        <w:rPr>
          <w:rFonts w:cstheme="minorHAnsi"/>
          <w:b/>
          <w:noProof/>
          <w:color w:val="C00000"/>
          <w:spacing w:val="-6"/>
          <w:sz w:val="44"/>
          <w:szCs w:val="24"/>
          <w:lang w:eastAsia="id-ID"/>
        </w:rPr>
      </w:pPr>
      <w:r>
        <w:rPr>
          <w:rFonts w:cstheme="minorHAnsi"/>
          <w:b/>
          <w:noProof/>
          <w:color w:val="C00000"/>
          <w:spacing w:val="-6"/>
          <w:sz w:val="44"/>
          <w:szCs w:val="24"/>
          <w:lang w:val="en-ID" w:eastAsia="en-ID"/>
        </w:rPr>
        <w:lastRenderedPageBreak/>
        <w:drawing>
          <wp:anchor distT="0" distB="0" distL="114300" distR="114300" simplePos="0" relativeHeight="251707904" behindDoc="0" locked="0" layoutInCell="1" allowOverlap="1">
            <wp:simplePos x="0" y="0"/>
            <wp:positionH relativeFrom="column">
              <wp:posOffset>-618680</wp:posOffset>
            </wp:positionH>
            <wp:positionV relativeFrom="paragraph">
              <wp:posOffset>-907605</wp:posOffset>
            </wp:positionV>
            <wp:extent cx="5331067" cy="7528956"/>
            <wp:effectExtent l="0" t="0" r="317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44700" cy="7548209"/>
                    </a:xfrm>
                    <a:prstGeom prst="rect">
                      <a:avLst/>
                    </a:prstGeom>
                  </pic:spPr>
                </pic:pic>
              </a:graphicData>
            </a:graphic>
            <wp14:sizeRelH relativeFrom="page">
              <wp14:pctWidth>0</wp14:pctWidth>
            </wp14:sizeRelH>
            <wp14:sizeRelV relativeFrom="page">
              <wp14:pctHeight>0</wp14:pctHeight>
            </wp14:sizeRelV>
          </wp:anchor>
        </w:drawing>
      </w:r>
    </w:p>
    <w:p>
      <w:pPr>
        <w:jc w:val="both"/>
        <w:rPr>
          <w:rFonts w:cstheme="minorHAnsi"/>
          <w:b/>
          <w:noProof/>
          <w:color w:val="C00000"/>
          <w:spacing w:val="-6"/>
          <w:sz w:val="44"/>
          <w:szCs w:val="24"/>
          <w:lang w:eastAsia="id-ID"/>
        </w:rPr>
      </w:pPr>
    </w:p>
    <w:p>
      <w:pPr>
        <w:jc w:val="both"/>
        <w:rPr>
          <w:rFonts w:cstheme="minorHAnsi"/>
          <w:b/>
          <w:noProof/>
          <w:color w:val="C00000"/>
          <w:spacing w:val="-6"/>
          <w:sz w:val="44"/>
          <w:szCs w:val="24"/>
          <w:lang w:eastAsia="id-ID"/>
        </w:rPr>
      </w:pPr>
    </w:p>
    <w:p>
      <w:pPr>
        <w:jc w:val="both"/>
        <w:rPr>
          <w:rFonts w:cstheme="minorHAnsi"/>
          <w:b/>
          <w:noProof/>
          <w:color w:val="C00000"/>
          <w:spacing w:val="-6"/>
          <w:sz w:val="44"/>
          <w:szCs w:val="24"/>
          <w:lang w:val="en-US" w:eastAsia="id-ID"/>
        </w:rPr>
      </w:pPr>
      <w:r>
        <w:rPr>
          <w:noProof/>
          <w:lang w:val="en-ID" w:eastAsia="en-ID"/>
        </w:rPr>
        <mc:AlternateContent>
          <mc:Choice Requires="wps">
            <w:drawing>
              <wp:anchor distT="0" distB="0" distL="114300" distR="114300" simplePos="0" relativeHeight="251665920" behindDoc="0" locked="0" layoutInCell="1" allowOverlap="1">
                <wp:simplePos x="0" y="0"/>
                <wp:positionH relativeFrom="column">
                  <wp:posOffset>-1050290</wp:posOffset>
                </wp:positionH>
                <wp:positionV relativeFrom="paragraph">
                  <wp:posOffset>6733540</wp:posOffset>
                </wp:positionV>
                <wp:extent cx="6899910" cy="1787525"/>
                <wp:effectExtent l="0" t="0" r="0" b="31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910" cy="1787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B90B32" id="Rectangle 33" o:spid="_x0000_s1026" style="position:absolute;margin-left:-82.7pt;margin-top:530.2pt;width:543.3pt;height:14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" fillcolor="white [3212]" strokecolor="white [3212]" strokeweight="2pt">
                <v:path arrowok="t"/>
              </v:rect>
            </w:pict>
          </mc:Fallback>
        </mc:AlternateContent>
      </w:r>
      <w:r>
        <w:rPr>
          <w:rFonts w:cstheme="minorHAnsi"/>
          <w:b/>
          <w:noProof/>
          <w:color w:val="C00000"/>
          <w:spacing w:val="-6"/>
          <w:sz w:val="44"/>
          <w:szCs w:val="24"/>
          <w:lang w:val="en-US" w:eastAsia="id-ID"/>
        </w:rPr>
        <w:t>Infografis Kependudukan</w:t>
      </w:r>
    </w:p>
    <w:p>
      <w:pPr>
        <w:jc w:val="both"/>
        <w:rPr>
          <w:rFonts w:cstheme="minorHAnsi"/>
          <w:b/>
          <w:noProof/>
          <w:color w:val="C00000"/>
          <w:spacing w:val="-6"/>
          <w:sz w:val="44"/>
          <w:szCs w:val="24"/>
          <w:lang w:val="en-US" w:eastAsia="id-ID"/>
        </w:rPr>
      </w:pPr>
    </w:p>
    <w:p>
      <w:pPr>
        <w:jc w:val="both"/>
        <w:rPr>
          <w:rFonts w:cstheme="minorHAnsi"/>
          <w:b/>
          <w:noProof/>
          <w:color w:val="C00000"/>
          <w:spacing w:val="-6"/>
          <w:sz w:val="44"/>
          <w:szCs w:val="24"/>
          <w:lang w:val="en-US" w:eastAsia="id-ID"/>
        </w:rPr>
      </w:pPr>
    </w:p>
    <w:p>
      <w:pPr>
        <w:jc w:val="both"/>
        <w:rPr>
          <w:rFonts w:cstheme="minorHAnsi"/>
          <w:b/>
          <w:noProof/>
          <w:color w:val="C00000"/>
          <w:spacing w:val="-6"/>
          <w:sz w:val="44"/>
          <w:szCs w:val="24"/>
          <w:lang w:val="en-US" w:eastAsia="id-ID"/>
        </w:rPr>
      </w:pPr>
    </w:p>
    <w:p>
      <w:pPr>
        <w:jc w:val="both"/>
        <w:rPr>
          <w:rFonts w:cstheme="minorHAnsi"/>
          <w:b/>
          <w:noProof/>
          <w:color w:val="C00000"/>
          <w:spacing w:val="-6"/>
          <w:sz w:val="44"/>
          <w:szCs w:val="24"/>
          <w:lang w:val="en-US" w:eastAsia="id-ID"/>
        </w:rPr>
      </w:pPr>
    </w:p>
    <w:p>
      <w:pPr>
        <w:jc w:val="both"/>
        <w:rPr>
          <w:rFonts w:cstheme="minorHAnsi"/>
          <w:b/>
          <w:noProof/>
          <w:color w:val="C00000"/>
          <w:spacing w:val="-6"/>
          <w:sz w:val="44"/>
          <w:szCs w:val="24"/>
          <w:lang w:val="en-US" w:eastAsia="id-ID"/>
        </w:rPr>
      </w:pPr>
    </w:p>
    <w:p>
      <w:pPr>
        <w:jc w:val="both"/>
        <w:rPr>
          <w:rFonts w:cstheme="minorHAnsi"/>
          <w:b/>
          <w:noProof/>
          <w:color w:val="C00000"/>
          <w:spacing w:val="-6"/>
          <w:sz w:val="44"/>
          <w:szCs w:val="24"/>
          <w:lang w:val="en-US" w:eastAsia="id-ID"/>
        </w:rPr>
      </w:pPr>
    </w:p>
    <w:p>
      <w:pPr>
        <w:jc w:val="both"/>
        <w:rPr>
          <w:rFonts w:cstheme="minorHAnsi"/>
          <w:b/>
          <w:noProof/>
          <w:color w:val="C00000"/>
          <w:spacing w:val="-6"/>
          <w:sz w:val="44"/>
          <w:szCs w:val="24"/>
          <w:lang w:val="en-US" w:eastAsia="id-ID"/>
        </w:rPr>
      </w:pPr>
    </w:p>
    <w:p>
      <w:pPr>
        <w:jc w:val="both"/>
        <w:rPr>
          <w:rFonts w:cstheme="minorHAnsi"/>
          <w:b/>
          <w:noProof/>
          <w:color w:val="C00000"/>
          <w:spacing w:val="-6"/>
          <w:sz w:val="44"/>
          <w:szCs w:val="24"/>
          <w:lang w:val="en-US" w:eastAsia="id-ID"/>
        </w:rPr>
      </w:pPr>
      <w:r>
        <w:rPr>
          <w:noProof/>
          <w:lang w:val="en-ID" w:eastAsia="en-ID"/>
        </w:rPr>
        <w:lastRenderedPageBreak/>
        <mc:AlternateContent>
          <mc:Choice Requires="wps">
            <w:drawing>
              <wp:anchor distT="0" distB="0" distL="114300" distR="114300" simplePos="0" relativeHeight="251775488" behindDoc="0" locked="0" layoutInCell="1" allowOverlap="1">
                <wp:simplePos x="0" y="0"/>
                <wp:positionH relativeFrom="page">
                  <wp:align>left</wp:align>
                </wp:positionH>
                <wp:positionV relativeFrom="paragraph">
                  <wp:posOffset>5722727</wp:posOffset>
                </wp:positionV>
                <wp:extent cx="5319716" cy="866899"/>
                <wp:effectExtent l="0" t="0" r="14605" b="28575"/>
                <wp:wrapNone/>
                <wp:docPr id="126" name="Rectangle 126"/>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FC3AC0" id="Rectangle 126" o:spid="_x0000_s1026" style="position:absolute;margin-left:0;margin-top:450.6pt;width:418.9pt;height:68.25pt;z-index:2517754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" fillcolor="white [3212]" strokecolor="white [3212]" strokeweight="2pt">
                <w10:wrap anchorx="page"/>
              </v:rect>
            </w:pict>
          </mc:Fallback>
        </mc:AlternateContent>
      </w:r>
      <w:r>
        <w:rPr>
          <w:noProof/>
          <w:lang w:val="en-ID" w:eastAsia="en-ID"/>
        </w:rPr>
        <mc:AlternateContent>
          <mc:Choice Requires="wps">
            <w:drawing>
              <wp:anchor distT="0" distB="0" distL="114300" distR="114300" simplePos="0" relativeHeight="251773440" behindDoc="0" locked="0" layoutInCell="1" allowOverlap="1">
                <wp:simplePos x="0" y="0"/>
                <wp:positionH relativeFrom="page">
                  <wp:align>left</wp:align>
                </wp:positionH>
                <wp:positionV relativeFrom="paragraph">
                  <wp:posOffset>-772531</wp:posOffset>
                </wp:positionV>
                <wp:extent cx="5319716" cy="866899"/>
                <wp:effectExtent l="0" t="0" r="14605" b="28575"/>
                <wp:wrapNone/>
                <wp:docPr id="123" name="Rectangle 123"/>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C068C" id="Rectangle 123" o:spid="_x0000_s1026" style="position:absolute;margin-left:0;margin-top:-60.85pt;width:418.9pt;height:68.25pt;z-index:2517734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" fillcolor="white [3212]" strokecolor="white [3212]" strokeweight="2pt">
                <w10:wrap anchorx="page"/>
              </v:rect>
            </w:pict>
          </mc:Fallback>
        </mc:AlternateContent>
      </w:r>
      <w:r>
        <w:rPr>
          <w:rFonts w:cstheme="minorHAnsi"/>
          <w:b/>
          <w:noProof/>
          <w:color w:val="C00000"/>
          <w:spacing w:val="-6"/>
          <w:sz w:val="44"/>
          <w:szCs w:val="24"/>
          <w:lang w:val="en-US" w:eastAsia="id-ID"/>
        </w:rPr>
        <w:br w:type="page"/>
      </w:r>
    </w:p>
    <w:p>
      <w:pPr>
        <w:pStyle w:val="Heading1"/>
        <w:spacing w:after="0" w:line="240" w:lineRule="auto"/>
        <w:rPr>
          <w:rFonts w:asciiTheme="minorHAnsi" w:hAnsiTheme="minorHAnsi" w:cstheme="minorHAnsi"/>
          <w:sz w:val="32"/>
          <w:lang w:val="en-US"/>
        </w:rPr>
      </w:pPr>
      <w:bookmarkStart w:id="30" w:name="_Toc118715974"/>
      <w:r>
        <w:rPr>
          <w:rFonts w:asciiTheme="minorHAnsi" w:hAnsiTheme="minorHAnsi" w:cstheme="minorHAnsi"/>
          <w:sz w:val="32"/>
          <w:lang w:val="en-US"/>
        </w:rPr>
        <w:lastRenderedPageBreak/>
        <w:t>BAB III</w:t>
      </w:r>
      <w:bookmarkEnd w:id="30"/>
    </w:p>
    <w:p>
      <w:pPr>
        <w:pStyle w:val="Title"/>
        <w:rPr>
          <w:sz w:val="32"/>
          <w:szCs w:val="32"/>
        </w:rPr>
      </w:pPr>
      <w:r>
        <w:rPr>
          <w:sz w:val="32"/>
          <w:szCs w:val="32"/>
        </w:rPr>
        <w:t>KEPENDUDUKAN</w:t>
      </w: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Salah satu masalah yang perlu diperhatikan dalam proses pembangunan adalah masalah kependudukan, yang mencakup antara lain jumlah, komposisi dan jumlah penduduk. Hal ini dikarenakan penduduk merupakan faktor yang sangat dominan, tidak saja menjadi pelaksana tetapi juga menjadi sasaran dari pembangunan. Untuk itu perhatian pemerintah terhadap masalah kependudukan selama ini telah diwujudkan dalam berbagai bentuk program, baik berorientasi langsung terhadap faktor-faktor demografi maupun yang berkaitan dengan kehidupan sosial. Ini menunjukkan bahwa pemerintah tanggap terhadap masalah penting yang dihadapi oleh bangsa kita ini. </w:t>
      </w: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Perubahan kondisi sosial, ekonomi dan norma-norma yang hidup dalam masyarakat, sebagai dampak atau ekses dari setiap pembangunan menyebabkan terjadinya perubahan masalah kependudukan. Penurunan fertilitas sebagai hasil upaya keras pemerintah melalui pelaksanaan program Keluarga Berencana (KB) menyebabkan pertumbuhan penduduk pada kelompok anak-anak dapat ditekan. Membaiknya kondisi kesehatan masyarakat seiring dengan membaiknya pelayanan kesehatan menyebabkan menurunnya tingkat kematian dan makin tingginya peluang penduduk berumur lebih panjang. Disamping itu, globalisasi ekonomi, budaya dan komunikasi memberikan pengaruh pada mobilitas penduduk baik yang sifatnya permanen maupun sementara.</w:t>
      </w:r>
    </w:p>
    <w:p>
      <w:pPr>
        <w:spacing w:line="360" w:lineRule="auto"/>
        <w:ind w:left="284" w:firstLine="567"/>
        <w:jc w:val="both"/>
        <w:rPr>
          <w:sz w:val="20"/>
          <w:szCs w:val="20"/>
        </w:rPr>
      </w:pPr>
      <w:r>
        <w:rPr>
          <w:sz w:val="20"/>
          <w:szCs w:val="20"/>
        </w:rPr>
        <w:lastRenderedPageBreak/>
        <w:t>Data demografi dewasa ini semakin banyak diperlukan oleh berbagai pihak sebagai data pendukung, input dan output dari suatu kegiatan. Aspek kependudukan yang akan dibahas pada publikasi ini adalah besaran, komposisi,</w:t>
      </w:r>
      <w:r>
        <w:rPr>
          <w:sz w:val="20"/>
          <w:szCs w:val="20"/>
          <w:lang w:val="en-US"/>
        </w:rPr>
        <w:t xml:space="preserve"> </w:t>
      </w:r>
      <w:r>
        <w:rPr>
          <w:sz w:val="20"/>
          <w:szCs w:val="20"/>
        </w:rPr>
        <w:t>perubahan dan persebaran serta karakteristik baik dari kuantitas maupun kualitas yang dikaitkan dengan isu gender.</w:t>
      </w:r>
    </w:p>
    <w:p>
      <w:pPr>
        <w:pStyle w:val="Heading2"/>
        <w:numPr>
          <w:ilvl w:val="1"/>
          <w:numId w:val="20"/>
        </w:numPr>
        <w:ind w:left="567" w:hanging="283"/>
        <w:jc w:val="both"/>
        <w:rPr>
          <w:sz w:val="20"/>
          <w:szCs w:val="20"/>
          <w:lang w:val="en-US"/>
        </w:rPr>
      </w:pPr>
      <w:bookmarkStart w:id="31" w:name="_Toc118715975"/>
      <w:r>
        <w:rPr>
          <w:sz w:val="20"/>
          <w:szCs w:val="20"/>
          <w:lang w:val="en-US"/>
        </w:rPr>
        <w:t>Perkembangan Penduduk</w:t>
      </w:r>
      <w:bookmarkEnd w:id="31"/>
    </w:p>
    <w:p>
      <w:pPr>
        <w:spacing w:line="360" w:lineRule="auto"/>
        <w:ind w:left="284" w:firstLine="567"/>
        <w:jc w:val="both"/>
        <w:rPr>
          <w:color w:val="000000" w:themeColor="text1"/>
          <w:sz w:val="20"/>
          <w:szCs w:val="20"/>
          <w:lang w:val="en-US"/>
        </w:rPr>
      </w:pPr>
      <w:r>
        <w:rPr>
          <w:color w:val="000000" w:themeColor="text1"/>
          <w:sz w:val="20"/>
          <w:szCs w:val="20"/>
        </w:rPr>
        <w:t>Tren jumlah penduduk Kalimantan Tengah terus bertambah dari waktu ke waktu. Pada tahun 1971, jumlah penduduk Kalimantan Tengah sebanyak 701.936 jiwa, tahun 1980 sebanyak 954.176 jiwa, tahun 1990 sebanyak 1.396.486 jiwa, tahun 2000 sebanyak 1.627.453 jiwa, pada tahun 2010 sebanyak 2.212.089 jiwa dan pada tahun 2020 sebanyak 2.669.969 jiwa</w:t>
      </w:r>
      <w:r>
        <w:rPr>
          <w:color w:val="000000" w:themeColor="text1"/>
          <w:sz w:val="20"/>
          <w:szCs w:val="20"/>
          <w:lang w:val="en-US"/>
        </w:rPr>
        <w:t>.</w:t>
      </w:r>
    </w:p>
    <w:p>
      <w:pPr>
        <w:spacing w:line="360" w:lineRule="auto"/>
        <w:ind w:left="284" w:firstLine="567"/>
        <w:jc w:val="both"/>
        <w:rPr>
          <w:color w:val="000000" w:themeColor="text1"/>
          <w:sz w:val="20"/>
          <w:szCs w:val="20"/>
          <w:lang w:val="en-US"/>
        </w:rPr>
      </w:pPr>
    </w:p>
    <w:p>
      <w:pPr>
        <w:spacing w:line="360" w:lineRule="auto"/>
        <w:ind w:left="284" w:firstLine="567"/>
        <w:jc w:val="both"/>
        <w:rPr>
          <w:color w:val="000000" w:themeColor="text1"/>
          <w:sz w:val="20"/>
          <w:szCs w:val="20"/>
          <w:lang w:val="en-US"/>
        </w:rPr>
      </w:pPr>
    </w:p>
    <w:p>
      <w:pPr>
        <w:spacing w:line="360" w:lineRule="auto"/>
        <w:ind w:left="284" w:firstLine="567"/>
        <w:jc w:val="both"/>
        <w:rPr>
          <w:color w:val="000000" w:themeColor="text1"/>
          <w:sz w:val="20"/>
          <w:szCs w:val="20"/>
          <w:lang w:val="en-US"/>
        </w:rPr>
      </w:pPr>
    </w:p>
    <w:p>
      <w:pPr>
        <w:spacing w:line="360" w:lineRule="auto"/>
        <w:ind w:left="284" w:firstLine="567"/>
        <w:jc w:val="both"/>
        <w:rPr>
          <w:color w:val="000000" w:themeColor="text1"/>
          <w:sz w:val="20"/>
          <w:szCs w:val="20"/>
          <w:lang w:val="en-US"/>
        </w:rPr>
      </w:pPr>
    </w:p>
    <w:p>
      <w:pPr>
        <w:spacing w:line="360" w:lineRule="auto"/>
        <w:ind w:left="284" w:firstLine="567"/>
        <w:jc w:val="both"/>
        <w:rPr>
          <w:color w:val="000000" w:themeColor="text1"/>
          <w:sz w:val="20"/>
          <w:szCs w:val="20"/>
          <w:lang w:val="en-US"/>
        </w:rPr>
      </w:pPr>
    </w:p>
    <w:p>
      <w:pPr>
        <w:spacing w:line="360" w:lineRule="auto"/>
        <w:ind w:left="284" w:firstLine="567"/>
        <w:jc w:val="both"/>
        <w:rPr>
          <w:color w:val="000000" w:themeColor="text1"/>
          <w:sz w:val="20"/>
          <w:szCs w:val="20"/>
          <w:lang w:val="en-US"/>
        </w:rPr>
      </w:pPr>
    </w:p>
    <w:p>
      <w:pPr>
        <w:spacing w:line="360" w:lineRule="auto"/>
        <w:ind w:left="284" w:firstLine="567"/>
        <w:jc w:val="both"/>
        <w:rPr>
          <w:color w:val="000000" w:themeColor="text1"/>
          <w:sz w:val="20"/>
          <w:szCs w:val="20"/>
          <w:lang w:val="en-US"/>
        </w:rPr>
      </w:pPr>
    </w:p>
    <w:p>
      <w:pPr>
        <w:spacing w:line="360" w:lineRule="auto"/>
        <w:ind w:left="284" w:firstLine="567"/>
        <w:jc w:val="both"/>
        <w:rPr>
          <w:color w:val="000000" w:themeColor="text1"/>
          <w:sz w:val="20"/>
          <w:szCs w:val="20"/>
          <w:lang w:val="en-US"/>
        </w:rPr>
      </w:pPr>
    </w:p>
    <w:p>
      <w:pPr>
        <w:pStyle w:val="ListParagraph"/>
        <w:ind w:left="1843" w:hanging="1559"/>
        <w:jc w:val="both"/>
        <w:rPr>
          <w:b/>
          <w:bCs/>
          <w:sz w:val="20"/>
          <w:szCs w:val="20"/>
        </w:rPr>
      </w:pPr>
      <w:bookmarkStart w:id="32" w:name="_Toc117455685"/>
      <w:r>
        <w:rPr>
          <w:b/>
          <w:bCs/>
          <w:sz w:val="20"/>
          <w:szCs w:val="20"/>
        </w:rPr>
        <w:lastRenderedPageBreak/>
        <w:t xml:space="preserve">Gambar 3. </w:t>
      </w:r>
      <w:r>
        <w:rPr>
          <w:b/>
          <w:bCs/>
          <w:sz w:val="20"/>
          <w:szCs w:val="20"/>
        </w:rPr>
        <w:fldChar w:fldCharType="begin"/>
      </w:r>
      <w:r>
        <w:rPr>
          <w:b/>
          <w:bCs/>
          <w:sz w:val="20"/>
          <w:szCs w:val="20"/>
        </w:rPr>
        <w:instrText xml:space="preserve"> SEQ Gambar_3. \* ARABIC </w:instrText>
      </w:r>
      <w:r>
        <w:rPr>
          <w:b/>
          <w:bCs/>
          <w:sz w:val="20"/>
          <w:szCs w:val="20"/>
        </w:rPr>
        <w:fldChar w:fldCharType="separate"/>
      </w:r>
      <w:r>
        <w:rPr>
          <w:b/>
          <w:bCs/>
          <w:noProof/>
          <w:sz w:val="20"/>
          <w:szCs w:val="20"/>
        </w:rPr>
        <w:t>1</w:t>
      </w:r>
      <w:r>
        <w:rPr>
          <w:b/>
          <w:bCs/>
          <w:sz w:val="20"/>
          <w:szCs w:val="20"/>
        </w:rPr>
        <w:fldChar w:fldCharType="end"/>
      </w:r>
      <w:r>
        <w:rPr>
          <w:sz w:val="20"/>
          <w:szCs w:val="20"/>
          <w:lang w:val="en-US"/>
        </w:rPr>
        <w:t xml:space="preserve"> </w:t>
      </w:r>
      <w:r>
        <w:rPr>
          <w:b/>
          <w:bCs/>
          <w:sz w:val="20"/>
          <w:szCs w:val="20"/>
        </w:rPr>
        <w:t>Jumlah dan Laju Pertumbuhan Penduduk Kalimantan Tengah 1971 – 2020.</w:t>
      </w:r>
      <w:bookmarkEnd w:id="32"/>
    </w:p>
    <w:p>
      <w:pPr>
        <w:pStyle w:val="ListParagraph"/>
        <w:ind w:left="0"/>
        <w:jc w:val="both"/>
        <w:rPr>
          <w:sz w:val="20"/>
          <w:szCs w:val="20"/>
        </w:rPr>
      </w:pPr>
      <w:r>
        <w:rPr>
          <w:noProof/>
          <w:sz w:val="20"/>
          <w:szCs w:val="20"/>
          <w:lang w:val="en-ID" w:eastAsia="en-ID"/>
        </w:rPr>
        <w:drawing>
          <wp:inline distT="0" distB="0" distL="0" distR="0">
            <wp:extent cx="3825240" cy="2407920"/>
            <wp:effectExtent l="0" t="0" r="0" b="0"/>
            <wp:docPr id="122" name="Chart 1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5AD770-E20C-D1E6-1A59-00C06E71D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NoSpacing"/>
        <w:spacing w:line="360" w:lineRule="auto"/>
        <w:ind w:left="284" w:firstLine="567"/>
        <w:jc w:val="both"/>
        <w:rPr>
          <w:sz w:val="20"/>
          <w:szCs w:val="20"/>
        </w:rPr>
      </w:pPr>
      <w:r>
        <w:rPr>
          <w:sz w:val="20"/>
          <w:szCs w:val="20"/>
        </w:rPr>
        <w:t>Jika dilihat dari laju pertumbuhan penduduknya, di Provinsi Kalimantan Tengah mengalami fluktuatif cenderung menurun. Mulai tahun 1971, laju pertumbuhan penduduk Kalimantan Tengah sebesar 3,52 persen. Sedangkan pada tahun 1980 sebesar 3,47 persen. Peningkatan laju pertumbuhan penduduk tertinggi terjadi pada tahun 1990, yakni sebesar 3,88 persen. Kemudian pada tahun 2000, laju pertumbuhan penduduknya mulai melambat menjadi 2,89 persen. Begitu juga pada tahun 2010 laju pertumbuhan penduduknya lebih melambat lagi menjadi 1,79 persen. Di tahun 2020, sedikit terjadi kenaikan laju pertumbuhan penduduk menjadi 1,84 persen.</w:t>
      </w:r>
    </w:p>
    <w:p>
      <w:pPr>
        <w:pStyle w:val="NoSpacing"/>
        <w:spacing w:line="360" w:lineRule="auto"/>
        <w:ind w:left="284" w:firstLine="567"/>
        <w:jc w:val="both"/>
        <w:rPr>
          <w:sz w:val="20"/>
          <w:szCs w:val="20"/>
          <w:lang w:val="en-ID"/>
        </w:rPr>
      </w:pPr>
      <w:r>
        <w:rPr>
          <w:sz w:val="20"/>
          <w:szCs w:val="20"/>
        </w:rPr>
        <w:t xml:space="preserve">Piramida penduduk menggambarkan perkembangan penduduk dalam kurun waktu tertentu. Piramida ini berisi jumlah penduduk yang telah </w:t>
      </w:r>
      <w:r>
        <w:rPr>
          <w:sz w:val="20"/>
          <w:szCs w:val="20"/>
        </w:rPr>
        <w:lastRenderedPageBreak/>
        <w:t xml:space="preserve">dipisahkan antara laki-laki (sebelah kiri) dan perempuan (sebelah kanan) menurut kelompok umur 5 tahunan. Dari Gambar 1.4 Perkembangan penduduk Kalimantan Tengah </w:t>
      </w:r>
      <w:r>
        <w:rPr>
          <w:sz w:val="20"/>
          <w:szCs w:val="20"/>
          <w:lang w:val="id-ID"/>
        </w:rPr>
        <w:t xml:space="preserve">menunjukkan bahwa </w:t>
      </w:r>
      <w:r>
        <w:rPr>
          <w:i/>
          <w:iCs/>
          <w:sz w:val="20"/>
          <w:szCs w:val="20"/>
          <w:lang w:val="id-ID"/>
        </w:rPr>
        <w:t>sex ratio</w:t>
      </w:r>
      <w:r>
        <w:rPr>
          <w:sz w:val="20"/>
          <w:szCs w:val="20"/>
          <w:lang w:val="id-ID"/>
        </w:rPr>
        <w:t xml:space="preserve"> pada sensus penduduk tahun 1971 sampai dengan 20</w:t>
      </w:r>
      <w:r>
        <w:rPr>
          <w:sz w:val="20"/>
          <w:szCs w:val="20"/>
          <w:lang w:val="en-ID"/>
        </w:rPr>
        <w:t>20</w:t>
      </w:r>
      <w:r>
        <w:rPr>
          <w:sz w:val="20"/>
          <w:szCs w:val="20"/>
          <w:lang w:val="id-ID"/>
        </w:rPr>
        <w:t xml:space="preserve"> selalu lebih dari satu, ini berarti jumlah penduduk laki-laki di Kalimantan Tengah lebih besar daripada jumlah penduduk perempuan. Pada tahun 1971,</w:t>
      </w:r>
      <w:r>
        <w:rPr>
          <w:sz w:val="20"/>
          <w:szCs w:val="20"/>
          <w:lang w:val="en-ID"/>
        </w:rPr>
        <w:t xml:space="preserve"> persentase</w:t>
      </w:r>
      <w:r>
        <w:rPr>
          <w:sz w:val="20"/>
          <w:szCs w:val="20"/>
          <w:lang w:val="id-ID"/>
        </w:rPr>
        <w:t xml:space="preserve"> penduduk laki-laki sebanyak 50,43 persen dan  penduduk perempuan sebanyak 49,57 persen. </w:t>
      </w:r>
      <w:r>
        <w:rPr>
          <w:sz w:val="20"/>
          <w:szCs w:val="20"/>
          <w:lang w:val="en-ID"/>
        </w:rPr>
        <w:t>Selanjutnya, di t</w:t>
      </w:r>
      <w:r>
        <w:rPr>
          <w:sz w:val="20"/>
          <w:szCs w:val="20"/>
          <w:lang w:val="id-ID"/>
        </w:rPr>
        <w:t>ahun 1980</w:t>
      </w:r>
      <w:r>
        <w:rPr>
          <w:sz w:val="20"/>
          <w:szCs w:val="20"/>
          <w:lang w:val="en-ID"/>
        </w:rPr>
        <w:t xml:space="preserve"> persentase </w:t>
      </w:r>
      <w:r>
        <w:rPr>
          <w:sz w:val="20"/>
          <w:szCs w:val="20"/>
          <w:lang w:val="id-ID"/>
        </w:rPr>
        <w:t>penduduk laki-laki sebanyak 51,53 persen dan penduduk perempuan sebanyak 48,47 persen. Kemudian pada tahun 1990,</w:t>
      </w:r>
      <w:r>
        <w:rPr>
          <w:sz w:val="20"/>
          <w:szCs w:val="20"/>
          <w:lang w:val="en-ID"/>
        </w:rPr>
        <w:t xml:space="preserve"> penduduk</w:t>
      </w:r>
      <w:r>
        <w:rPr>
          <w:sz w:val="20"/>
          <w:szCs w:val="20"/>
          <w:lang w:val="id-ID"/>
        </w:rPr>
        <w:t xml:space="preserve"> laki-laki sebanyak 51,60 persen da</w:t>
      </w:r>
      <w:r>
        <w:rPr>
          <w:sz w:val="20"/>
          <w:szCs w:val="20"/>
          <w:lang w:val="en-ID"/>
        </w:rPr>
        <w:t xml:space="preserve">n penduduk </w:t>
      </w:r>
      <w:r>
        <w:rPr>
          <w:sz w:val="20"/>
          <w:szCs w:val="20"/>
          <w:lang w:val="id-ID"/>
        </w:rPr>
        <w:t xml:space="preserve">perempuan sebanyak 48,40 persen. </w:t>
      </w:r>
      <w:r>
        <w:rPr>
          <w:sz w:val="20"/>
          <w:szCs w:val="20"/>
          <w:lang w:val="en-ID"/>
        </w:rPr>
        <w:t>P</w:t>
      </w:r>
      <w:r>
        <w:rPr>
          <w:sz w:val="20"/>
          <w:szCs w:val="20"/>
          <w:lang w:val="id-ID"/>
        </w:rPr>
        <w:t>ada tahun 2000,</w:t>
      </w:r>
      <w:r>
        <w:rPr>
          <w:sz w:val="20"/>
          <w:szCs w:val="20"/>
          <w:lang w:val="en-ID"/>
        </w:rPr>
        <w:t xml:space="preserve"> persentase </w:t>
      </w:r>
      <w:r>
        <w:rPr>
          <w:sz w:val="20"/>
          <w:szCs w:val="20"/>
          <w:lang w:val="id-ID"/>
        </w:rPr>
        <w:t xml:space="preserve">penduduk laki-laki sebanyak 51,70 persen dan penduduk perempuan sebanyak 48,30 persen. </w:t>
      </w:r>
      <w:r>
        <w:rPr>
          <w:sz w:val="20"/>
          <w:szCs w:val="20"/>
          <w:lang w:val="en-ID"/>
        </w:rPr>
        <w:t>P</w:t>
      </w:r>
      <w:r>
        <w:rPr>
          <w:sz w:val="20"/>
          <w:szCs w:val="20"/>
          <w:lang w:val="id-ID"/>
        </w:rPr>
        <w:t>ada tahun 2010,</w:t>
      </w:r>
      <w:r>
        <w:rPr>
          <w:sz w:val="20"/>
          <w:szCs w:val="20"/>
          <w:lang w:val="en-ID"/>
        </w:rPr>
        <w:t xml:space="preserve"> persentase </w:t>
      </w:r>
      <w:r>
        <w:rPr>
          <w:sz w:val="20"/>
          <w:szCs w:val="20"/>
          <w:lang w:val="id-ID"/>
        </w:rPr>
        <w:t>penduduk laki-laki sebanyak 52,16 persen dan jumlah penduduk perempuan sebanyak 47,84 persen.</w:t>
      </w:r>
      <w:r>
        <w:rPr>
          <w:sz w:val="20"/>
          <w:szCs w:val="20"/>
          <w:lang w:val="en-ID"/>
        </w:rPr>
        <w:t xml:space="preserve"> Selanjutnya di tahun 2020, persentase penduduk laki-laki mencapai 51,90 persen dan penduduk perempuan 48,10 persen.</w:t>
      </w:r>
    </w:p>
    <w:p>
      <w:pPr>
        <w:spacing w:line="360" w:lineRule="auto"/>
        <w:ind w:left="284" w:firstLine="567"/>
        <w:jc w:val="both"/>
        <w:rPr>
          <w:sz w:val="20"/>
          <w:szCs w:val="20"/>
          <w:lang w:val="en-ID"/>
        </w:rPr>
      </w:pPr>
      <w:r>
        <w:rPr>
          <w:sz w:val="20"/>
          <w:szCs w:val="20"/>
        </w:rPr>
        <w:t xml:space="preserve">Jika dilihat dari kelompok umurnya, pada tahun 1971 menunjukkan bahwa kelompok umur penduduk usia muda lebih besar dibandingkan dengan jumlah kelompok umur penduduk dewasa dan tua, begitu juga yang terjadi pada tahun 1980 dan 1990. Ini berarti rasio ketergantungan penduduk usia muda cenderung tinggi dikarenakan penduduk usia muda yang termasuk usia belum produktifnya tinggi. </w:t>
      </w:r>
      <w:r>
        <w:rPr>
          <w:sz w:val="20"/>
          <w:szCs w:val="20"/>
          <w:lang w:val="en-ID"/>
        </w:rPr>
        <w:t>Seiring berjalannya waktu</w:t>
      </w:r>
      <w:r>
        <w:rPr>
          <w:sz w:val="20"/>
          <w:szCs w:val="20"/>
        </w:rPr>
        <w:t xml:space="preserve">, jumlah penduduk usia muda mulai berkurang, dan penduduk usia dewasa mulai menggemuk (bertambah banyak), jadi penduduk sedang mengalami pertumbuhan, ini bisa dilihat dari piramida penduduk tahun 2000, 2010 dan </w:t>
      </w:r>
      <w:r>
        <w:rPr>
          <w:sz w:val="20"/>
          <w:szCs w:val="20"/>
        </w:rPr>
        <w:lastRenderedPageBreak/>
        <w:t>2020. Hal ini menunjukkan beban yang ditanggung penduduk usia dewasa (usia produktif) makin berkurang, sehingga rasio ketergantungan penduduk usia muda semakin mengecil.</w:t>
      </w:r>
      <w:r>
        <w:rPr>
          <w:sz w:val="20"/>
          <w:szCs w:val="20"/>
          <w:lang w:val="en-ID"/>
        </w:rPr>
        <w:t xml:space="preserve"> Penduduk usia produktif adalah mereka yang berusia 15 sampai 64 tahun. Piramida penduduk tahun 2020 menunjukkan bahwa 70,20 persen penduduk merupakan usia produktif. Dengan demikian, angka ketergantungan juga semakin kecil sehingga pembangunan dapat secara maksimal dilakukan jika tenaga kerja yang tersedia terserap dengan baik. </w:t>
      </w: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spacing w:line="360" w:lineRule="auto"/>
        <w:ind w:left="284" w:firstLine="567"/>
        <w:jc w:val="both"/>
        <w:rPr>
          <w:sz w:val="20"/>
          <w:szCs w:val="20"/>
          <w:lang w:val="en-ID"/>
        </w:rPr>
      </w:pPr>
    </w:p>
    <w:p>
      <w:pPr>
        <w:pStyle w:val="Caption"/>
        <w:ind w:left="1276" w:hanging="992"/>
        <w:jc w:val="both"/>
        <w:rPr>
          <w:b/>
          <w:bCs/>
          <w:i w:val="0"/>
          <w:iCs w:val="0"/>
          <w:color w:val="000000" w:themeColor="text1"/>
          <w:sz w:val="20"/>
          <w:szCs w:val="20"/>
        </w:rPr>
      </w:pPr>
      <w:bookmarkStart w:id="33" w:name="_Toc117455686"/>
      <w:r>
        <w:rPr>
          <w:b/>
          <w:bCs/>
          <w:i w:val="0"/>
          <w:iCs w:val="0"/>
          <w:color w:val="000000" w:themeColor="text1"/>
          <w:sz w:val="20"/>
          <w:szCs w:val="20"/>
        </w:rPr>
        <w:lastRenderedPageBreak/>
        <w:t xml:space="preserve">Gambar 3. </w:t>
      </w:r>
      <w:r>
        <w:rPr>
          <w:b/>
          <w:bCs/>
          <w:i w:val="0"/>
          <w:iCs w:val="0"/>
          <w:color w:val="000000" w:themeColor="text1"/>
          <w:sz w:val="20"/>
          <w:szCs w:val="20"/>
        </w:rPr>
        <w:fldChar w:fldCharType="begin"/>
      </w:r>
      <w:r>
        <w:rPr>
          <w:b/>
          <w:bCs/>
          <w:i w:val="0"/>
          <w:iCs w:val="0"/>
          <w:color w:val="000000" w:themeColor="text1"/>
          <w:sz w:val="20"/>
          <w:szCs w:val="20"/>
        </w:rPr>
        <w:instrText xml:space="preserve"> SEQ Gambar_3. \* ARABIC </w:instrText>
      </w:r>
      <w:r>
        <w:rPr>
          <w:b/>
          <w:bCs/>
          <w:i w:val="0"/>
          <w:iCs w:val="0"/>
          <w:color w:val="000000" w:themeColor="text1"/>
          <w:sz w:val="20"/>
          <w:szCs w:val="20"/>
        </w:rPr>
        <w:fldChar w:fldCharType="separate"/>
      </w:r>
      <w:r>
        <w:rPr>
          <w:b/>
          <w:bCs/>
          <w:i w:val="0"/>
          <w:iCs w:val="0"/>
          <w:noProof/>
          <w:color w:val="000000" w:themeColor="text1"/>
          <w:sz w:val="20"/>
          <w:szCs w:val="20"/>
        </w:rPr>
        <w:t>2</w:t>
      </w:r>
      <w:r>
        <w:rPr>
          <w:b/>
          <w:bCs/>
          <w:i w:val="0"/>
          <w:iCs w:val="0"/>
          <w:color w:val="000000" w:themeColor="text1"/>
          <w:sz w:val="20"/>
          <w:szCs w:val="20"/>
        </w:rPr>
        <w:fldChar w:fldCharType="end"/>
      </w:r>
      <w:r>
        <w:rPr>
          <w:b/>
          <w:bCs/>
          <w:i w:val="0"/>
          <w:iCs w:val="0"/>
          <w:color w:val="000000" w:themeColor="text1"/>
          <w:sz w:val="20"/>
          <w:szCs w:val="20"/>
          <w:lang w:val="en-US"/>
        </w:rPr>
        <w:tab/>
      </w:r>
      <w:r>
        <w:rPr>
          <w:b/>
          <w:bCs/>
          <w:i w:val="0"/>
          <w:iCs w:val="0"/>
          <w:color w:val="000000" w:themeColor="text1"/>
          <w:sz w:val="20"/>
          <w:szCs w:val="20"/>
        </w:rPr>
        <w:t>Piramida Penduduk, 1971-2020</w:t>
      </w:r>
      <w:bookmarkEnd w:id="33"/>
    </w:p>
    <w:p>
      <w:pPr>
        <w:pStyle w:val="BodyText"/>
        <w:jc w:val="both"/>
        <w:rPr>
          <w:rFonts w:asciiTheme="minorHAnsi" w:hAnsiTheme="minorHAnsi"/>
          <w:b/>
          <w:color w:val="000000" w:themeColor="text1"/>
        </w:rPr>
      </w:pPr>
      <w:r>
        <w:rPr>
          <w:noProof/>
          <w:color w:val="000000" w:themeColor="text1"/>
          <w:lang w:val="en-ID" w:eastAsia="en-ID"/>
        </w:rPr>
        <w:drawing>
          <wp:anchor distT="0" distB="0" distL="114300" distR="114300" simplePos="0" relativeHeight="251642880" behindDoc="1" locked="0" layoutInCell="1" allowOverlap="1">
            <wp:simplePos x="0" y="0"/>
            <wp:positionH relativeFrom="column">
              <wp:posOffset>-80010</wp:posOffset>
            </wp:positionH>
            <wp:positionV relativeFrom="paragraph">
              <wp:posOffset>263525</wp:posOffset>
            </wp:positionV>
            <wp:extent cx="1844040" cy="1232144"/>
            <wp:effectExtent l="0" t="0" r="0" b="0"/>
            <wp:wrapNone/>
            <wp:docPr id="231" name="Picture 2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9186" cy="1235583"/>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lang w:val="en-ID" w:eastAsia="en-ID"/>
        </w:rPr>
        <w:drawing>
          <wp:anchor distT="0" distB="0" distL="114300" distR="114300" simplePos="0" relativeHeight="251640832" behindDoc="0" locked="0" layoutInCell="1" allowOverlap="1">
            <wp:simplePos x="0" y="0"/>
            <wp:positionH relativeFrom="column">
              <wp:posOffset>2190750</wp:posOffset>
            </wp:positionH>
            <wp:positionV relativeFrom="paragraph">
              <wp:posOffset>248672</wp:posOffset>
            </wp:positionV>
            <wp:extent cx="1899253" cy="1219200"/>
            <wp:effectExtent l="0" t="0" r="0" b="0"/>
            <wp:wrapNone/>
            <wp:docPr id="230" name="Picture 23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hart&#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9253"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lang w:val="en-US"/>
        </w:rPr>
        <w:t xml:space="preserve">                          </w:t>
      </w:r>
      <w:r>
        <w:rPr>
          <w:rFonts w:asciiTheme="minorHAnsi" w:hAnsiTheme="minorHAnsi"/>
          <w:b/>
          <w:color w:val="000000" w:themeColor="text1"/>
        </w:rPr>
        <w:t xml:space="preserve">1971                                                           </w:t>
      </w:r>
      <w:r>
        <w:rPr>
          <w:rFonts w:asciiTheme="minorHAnsi" w:hAnsiTheme="minorHAnsi"/>
          <w:b/>
          <w:color w:val="000000" w:themeColor="text1"/>
          <w:lang w:val="en-US"/>
        </w:rPr>
        <w:t xml:space="preserve">         </w:t>
      </w:r>
      <w:r>
        <w:rPr>
          <w:rFonts w:asciiTheme="minorHAnsi" w:hAnsiTheme="minorHAnsi"/>
          <w:b/>
          <w:color w:val="000000" w:themeColor="text1"/>
        </w:rPr>
        <w:t>1980</w:t>
      </w:r>
    </w:p>
    <w:tbl>
      <w:tblPr>
        <w:tblpPr w:leftFromText="180" w:rightFromText="180" w:vertAnchor="text" w:horzAnchor="margin" w:tblpY="2289"/>
        <w:tblW w:w="6345" w:type="dxa"/>
        <w:tblBorders>
          <w:insideH w:val="single" w:sz="4" w:space="0" w:color="000000"/>
        </w:tblBorders>
        <w:tblLayout w:type="fixed"/>
        <w:tblLook w:val="04A0" w:firstRow="1" w:lastRow="0" w:firstColumn="1" w:lastColumn="0" w:noHBand="0" w:noVBand="1"/>
      </w:tblPr>
      <w:tblGrid>
        <w:gridCol w:w="3156"/>
        <w:gridCol w:w="3189"/>
      </w:tblGrid>
      <w:tr>
        <w:trPr>
          <w:trHeight w:val="5767"/>
        </w:trPr>
        <w:tc>
          <w:tcPr>
            <w:tcW w:w="3156" w:type="dxa"/>
          </w:tcPr>
          <w:p>
            <w:pPr>
              <w:pStyle w:val="BodyText"/>
              <w:tabs>
                <w:tab w:val="left" w:pos="2250"/>
              </w:tabs>
              <w:rPr>
                <w:rFonts w:asciiTheme="minorHAnsi" w:hAnsiTheme="minorHAnsi"/>
                <w:b/>
                <w:color w:val="000000" w:themeColor="text1"/>
              </w:rPr>
            </w:pPr>
            <w:r>
              <w:rPr>
                <w:noProof/>
                <w:color w:val="000000" w:themeColor="text1"/>
                <w:lang w:val="en-ID" w:eastAsia="en-ID"/>
              </w:rPr>
              <w:drawing>
                <wp:anchor distT="0" distB="0" distL="114300" distR="114300" simplePos="0" relativeHeight="251634688" behindDoc="0" locked="0" layoutInCell="1" allowOverlap="1">
                  <wp:simplePos x="0" y="0"/>
                  <wp:positionH relativeFrom="column">
                    <wp:posOffset>-135890</wp:posOffset>
                  </wp:positionH>
                  <wp:positionV relativeFrom="paragraph">
                    <wp:posOffset>300990</wp:posOffset>
                  </wp:positionV>
                  <wp:extent cx="1899920" cy="1219200"/>
                  <wp:effectExtent l="0" t="0" r="0" b="0"/>
                  <wp:wrapNone/>
                  <wp:docPr id="229" name="Picture 2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9920"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lang w:val="en-US"/>
              </w:rPr>
              <w:t xml:space="preserve">                       1</w:t>
            </w:r>
            <w:r>
              <w:rPr>
                <w:rFonts w:asciiTheme="minorHAnsi" w:hAnsiTheme="minorHAnsi"/>
                <w:b/>
                <w:color w:val="000000" w:themeColor="text1"/>
              </w:rPr>
              <w:t>990</w:t>
            </w: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r>
              <w:rPr>
                <w:noProof/>
                <w:color w:val="000000" w:themeColor="text1"/>
                <w:lang w:val="en-ID" w:eastAsia="en-ID"/>
              </w:rPr>
              <w:drawing>
                <wp:anchor distT="0" distB="0" distL="114300" distR="114300" simplePos="0" relativeHeight="251646976" behindDoc="1" locked="0" layoutInCell="1" allowOverlap="1">
                  <wp:simplePos x="0" y="0"/>
                  <wp:positionH relativeFrom="column">
                    <wp:posOffset>-232409</wp:posOffset>
                  </wp:positionH>
                  <wp:positionV relativeFrom="paragraph">
                    <wp:posOffset>265430</wp:posOffset>
                  </wp:positionV>
                  <wp:extent cx="2011680" cy="1291345"/>
                  <wp:effectExtent l="0" t="0" r="0" b="0"/>
                  <wp:wrapNone/>
                  <wp:docPr id="233" name="Picture 23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5202" cy="1293606"/>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rPr>
              <w:t xml:space="preserve"> </w:t>
            </w:r>
            <w:r>
              <w:rPr>
                <w:rFonts w:asciiTheme="minorHAnsi" w:hAnsiTheme="minorHAnsi"/>
                <w:b/>
                <w:color w:val="000000" w:themeColor="text1"/>
                <w:lang w:val="en-US"/>
              </w:rPr>
              <w:t xml:space="preserve">                   </w:t>
            </w:r>
            <w:r>
              <w:rPr>
                <w:rFonts w:asciiTheme="minorHAnsi" w:hAnsiTheme="minorHAnsi"/>
                <w:b/>
                <w:color w:val="000000" w:themeColor="text1"/>
              </w:rPr>
              <w:t xml:space="preserve">  2010</w:t>
            </w:r>
          </w:p>
          <w:p>
            <w:pPr>
              <w:pStyle w:val="BodyText"/>
              <w:tabs>
                <w:tab w:val="left" w:pos="2250"/>
              </w:tabs>
              <w:jc w:val="both"/>
              <w:rPr>
                <w:rFonts w:asciiTheme="minorHAnsi" w:hAnsiTheme="minorHAnsi"/>
                <w:b/>
                <w:color w:val="000000" w:themeColor="text1"/>
              </w:rPr>
            </w:pPr>
          </w:p>
        </w:tc>
        <w:tc>
          <w:tcPr>
            <w:tcW w:w="3189" w:type="dxa"/>
          </w:tcPr>
          <w:p>
            <w:pPr>
              <w:pStyle w:val="BodyText"/>
              <w:tabs>
                <w:tab w:val="left" w:pos="2250"/>
              </w:tabs>
              <w:jc w:val="both"/>
              <w:rPr>
                <w:rFonts w:asciiTheme="minorHAnsi" w:hAnsiTheme="minorHAnsi"/>
                <w:b/>
                <w:color w:val="000000" w:themeColor="text1"/>
              </w:rPr>
            </w:pPr>
            <w:r>
              <w:rPr>
                <w:rFonts w:asciiTheme="minorHAnsi" w:hAnsiTheme="minorHAnsi"/>
                <w:b/>
                <w:color w:val="000000" w:themeColor="text1"/>
              </w:rPr>
              <w:t xml:space="preserve">    </w:t>
            </w:r>
            <w:r>
              <w:rPr>
                <w:rFonts w:asciiTheme="minorHAnsi" w:hAnsiTheme="minorHAnsi"/>
                <w:b/>
                <w:color w:val="000000" w:themeColor="text1"/>
                <w:lang w:val="en-US"/>
              </w:rPr>
              <w:t xml:space="preserve">                        </w:t>
            </w:r>
            <w:r>
              <w:rPr>
                <w:rFonts w:asciiTheme="minorHAnsi" w:hAnsiTheme="minorHAnsi"/>
                <w:b/>
                <w:color w:val="000000" w:themeColor="text1"/>
              </w:rPr>
              <w:t xml:space="preserve">      2000</w:t>
            </w:r>
          </w:p>
          <w:p>
            <w:pPr>
              <w:pStyle w:val="BodyText"/>
              <w:tabs>
                <w:tab w:val="left" w:pos="2250"/>
              </w:tabs>
              <w:jc w:val="both"/>
              <w:rPr>
                <w:rFonts w:asciiTheme="minorHAnsi" w:hAnsiTheme="minorHAnsi"/>
                <w:b/>
                <w:color w:val="000000" w:themeColor="text1"/>
              </w:rPr>
            </w:pPr>
            <w:r>
              <w:rPr>
                <w:noProof/>
                <w:color w:val="000000" w:themeColor="text1"/>
                <w:lang w:val="en-ID" w:eastAsia="en-ID"/>
              </w:rPr>
              <w:drawing>
                <wp:anchor distT="0" distB="0" distL="114300" distR="114300" simplePos="0" relativeHeight="251644928" behindDoc="0" locked="0" layoutInCell="1" allowOverlap="1">
                  <wp:simplePos x="0" y="0"/>
                  <wp:positionH relativeFrom="column">
                    <wp:posOffset>170815</wp:posOffset>
                  </wp:positionH>
                  <wp:positionV relativeFrom="paragraph">
                    <wp:posOffset>70485</wp:posOffset>
                  </wp:positionV>
                  <wp:extent cx="1874520" cy="1203295"/>
                  <wp:effectExtent l="0" t="0" r="0" b="0"/>
                  <wp:wrapNone/>
                  <wp:docPr id="232" name="Picture 2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4520" cy="1203295"/>
                          </a:xfrm>
                          <a:prstGeom prst="rect">
                            <a:avLst/>
                          </a:prstGeom>
                          <a:noFill/>
                        </pic:spPr>
                      </pic:pic>
                    </a:graphicData>
                  </a:graphic>
                  <wp14:sizeRelH relativeFrom="page">
                    <wp14:pctWidth>0</wp14:pctWidth>
                  </wp14:sizeRelH>
                  <wp14:sizeRelV relativeFrom="page">
                    <wp14:pctHeight>0</wp14:pctHeight>
                  </wp14:sizeRelV>
                </wp:anchor>
              </w:drawing>
            </w: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p>
          <w:p>
            <w:pPr>
              <w:pStyle w:val="BodyText"/>
              <w:tabs>
                <w:tab w:val="left" w:pos="2250"/>
              </w:tabs>
              <w:jc w:val="both"/>
              <w:rPr>
                <w:rFonts w:asciiTheme="minorHAnsi" w:hAnsiTheme="minorHAnsi"/>
                <w:b/>
                <w:color w:val="000000" w:themeColor="text1"/>
              </w:rPr>
            </w:pPr>
            <w:r>
              <w:rPr>
                <w:noProof/>
                <w:color w:val="000000" w:themeColor="text1"/>
                <w:lang w:val="en-ID" w:eastAsia="en-ID"/>
              </w:rPr>
              <w:drawing>
                <wp:anchor distT="0" distB="0" distL="114300" distR="114300" simplePos="0" relativeHeight="251649024" behindDoc="0" locked="0" layoutInCell="1" allowOverlap="1">
                  <wp:simplePos x="0" y="0"/>
                  <wp:positionH relativeFrom="column">
                    <wp:posOffset>186690</wp:posOffset>
                  </wp:positionH>
                  <wp:positionV relativeFrom="paragraph">
                    <wp:posOffset>250190</wp:posOffset>
                  </wp:positionV>
                  <wp:extent cx="1905000" cy="1189223"/>
                  <wp:effectExtent l="0" t="0" r="0" b="0"/>
                  <wp:wrapNone/>
                  <wp:docPr id="8192" name="Picture 819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 name="Picture 8192" descr="Chart, bar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0" cy="11892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rPr>
              <w:t xml:space="preserve"> </w:t>
            </w:r>
            <w:r>
              <w:rPr>
                <w:rFonts w:asciiTheme="minorHAnsi" w:hAnsiTheme="minorHAnsi"/>
                <w:b/>
                <w:color w:val="000000" w:themeColor="text1"/>
                <w:lang w:val="en-US"/>
              </w:rPr>
              <w:t xml:space="preserve">                              </w:t>
            </w:r>
            <w:r>
              <w:rPr>
                <w:rFonts w:asciiTheme="minorHAnsi" w:hAnsiTheme="minorHAnsi"/>
                <w:b/>
                <w:color w:val="000000" w:themeColor="text1"/>
              </w:rPr>
              <w:t xml:space="preserve">   2020</w:t>
            </w:r>
          </w:p>
          <w:p>
            <w:pPr>
              <w:pStyle w:val="BodyText"/>
              <w:tabs>
                <w:tab w:val="left" w:pos="2250"/>
              </w:tabs>
              <w:jc w:val="both"/>
              <w:rPr>
                <w:rFonts w:asciiTheme="minorHAnsi" w:hAnsiTheme="minorHAnsi"/>
                <w:b/>
                <w:color w:val="000000" w:themeColor="text1"/>
              </w:rPr>
            </w:pPr>
          </w:p>
          <w:p>
            <w:pPr>
              <w:pStyle w:val="BodyText"/>
              <w:tabs>
                <w:tab w:val="left" w:pos="3294"/>
              </w:tabs>
              <w:jc w:val="both"/>
              <w:rPr>
                <w:rFonts w:asciiTheme="minorHAnsi" w:hAnsiTheme="minorHAnsi"/>
                <w:b/>
                <w:color w:val="000000" w:themeColor="text1"/>
              </w:rPr>
            </w:pPr>
          </w:p>
        </w:tc>
      </w:tr>
    </w:tbl>
    <w:p>
      <w:pPr>
        <w:pStyle w:val="Caption"/>
        <w:jc w:val="both"/>
        <w:rPr>
          <w:b/>
          <w:bCs/>
          <w:i w:val="0"/>
          <w:iCs w:val="0"/>
          <w:color w:val="000000" w:themeColor="text1"/>
          <w:sz w:val="22"/>
          <w:szCs w:val="22"/>
        </w:rPr>
      </w:pPr>
      <w:r>
        <w:rPr>
          <w:noProof/>
          <w:color w:val="000000" w:themeColor="text1"/>
          <w:lang w:val="en-ID" w:eastAsia="en-ID"/>
        </w:rPr>
        <mc:AlternateContent>
          <mc:Choice Requires="wps">
            <w:drawing>
              <wp:anchor distT="45720" distB="45720" distL="114300" distR="114300" simplePos="0" relativeHeight="251689472" behindDoc="0" locked="0" layoutInCell="1" allowOverlap="1">
                <wp:simplePos x="0" y="0"/>
                <wp:positionH relativeFrom="column">
                  <wp:posOffset>-247650</wp:posOffset>
                </wp:positionH>
                <wp:positionV relativeFrom="paragraph">
                  <wp:posOffset>4684395</wp:posOffset>
                </wp:positionV>
                <wp:extent cx="2199005" cy="321310"/>
                <wp:effectExtent l="1905" t="0" r="0" b="381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BodyText"/>
                              <w:rPr>
                                <w:rFonts w:asciiTheme="minorHAnsi" w:hAnsiTheme="minorHAnsi"/>
                                <w:i/>
                                <w:iCs/>
                                <w:color w:val="000000" w:themeColor="text1"/>
                                <w:sz w:val="18"/>
                                <w:szCs w:val="18"/>
                              </w:rPr>
                            </w:pPr>
                            <w:r>
                              <w:rPr>
                                <w:rFonts w:asciiTheme="minorHAnsi" w:hAnsiTheme="minorHAnsi"/>
                                <w:i/>
                                <w:iCs/>
                                <w:color w:val="000000" w:themeColor="text1"/>
                                <w:sz w:val="18"/>
                                <w:szCs w:val="18"/>
                              </w:rPr>
                              <w:t>Sumber : BPS, SP1971-SP2020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9.5pt;margin-top:368.85pt;width:173.15pt;height:25.3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" stroked="f">
                <v:textbox style="mso-fit-shape-to-text:t">
                  <w:txbxContent>
                    <w:p>
                      <w:pPr>
                        <w:pStyle w:val="BodyText"/>
                        <w:rPr>
                          <w:rFonts w:asciiTheme="minorHAnsi" w:hAnsiTheme="minorHAnsi"/>
                          <w:i/>
                          <w:iCs/>
                          <w:color w:val="000000" w:themeColor="text1"/>
                          <w:sz w:val="18"/>
                          <w:szCs w:val="18"/>
                        </w:rPr>
                      </w:pPr>
                      <w:r>
                        <w:rPr>
                          <w:rFonts w:asciiTheme="minorHAnsi" w:hAnsiTheme="minorHAnsi"/>
                          <w:i/>
                          <w:iCs/>
                          <w:color w:val="000000" w:themeColor="text1"/>
                          <w:sz w:val="18"/>
                          <w:szCs w:val="18"/>
                        </w:rPr>
                        <w:t>Sumber : BPS, SP1971-SP2020</w:t>
                      </w:r>
                    </w:p>
                  </w:txbxContent>
                </v:textbox>
                <w10:wrap type="square"/>
              </v:shape>
            </w:pict>
          </mc:Fallback>
        </mc:AlternateContent>
      </w:r>
      <w:r>
        <w:rPr>
          <w:b/>
          <w:bCs/>
          <w:i w:val="0"/>
          <w:iCs w:val="0"/>
          <w:color w:val="000000" w:themeColor="text1"/>
          <w:sz w:val="22"/>
          <w:szCs w:val="22"/>
        </w:rPr>
        <w:br w:type="page"/>
      </w:r>
    </w:p>
    <w:p>
      <w:pPr>
        <w:pStyle w:val="Heading2"/>
        <w:numPr>
          <w:ilvl w:val="1"/>
          <w:numId w:val="20"/>
        </w:numPr>
        <w:ind w:left="709" w:hanging="425"/>
        <w:jc w:val="both"/>
        <w:rPr>
          <w:sz w:val="20"/>
          <w:szCs w:val="20"/>
          <w:lang w:val="en-US"/>
        </w:rPr>
      </w:pPr>
      <w:bookmarkStart w:id="34" w:name="_Toc118715976"/>
      <w:r>
        <w:rPr>
          <w:rFonts w:asciiTheme="minorHAnsi" w:hAnsiTheme="minorHAnsi"/>
          <w:sz w:val="20"/>
          <w:szCs w:val="20"/>
        </w:rPr>
        <w:lastRenderedPageBreak/>
        <w:t>Struktur Umur Pendudu</w:t>
      </w:r>
      <w:r>
        <w:rPr>
          <w:rFonts w:asciiTheme="minorHAnsi" w:hAnsiTheme="minorHAnsi"/>
          <w:sz w:val="20"/>
          <w:szCs w:val="20"/>
          <w:lang w:val="en-US"/>
        </w:rPr>
        <w:t>k</w:t>
      </w:r>
      <w:bookmarkEnd w:id="34"/>
    </w:p>
    <w:p>
      <w:pPr>
        <w:spacing w:line="360" w:lineRule="auto"/>
        <w:ind w:left="284" w:firstLine="567"/>
        <w:jc w:val="both"/>
        <w:rPr>
          <w:sz w:val="20"/>
          <w:szCs w:val="20"/>
        </w:rPr>
      </w:pPr>
      <w:r>
        <w:rPr>
          <w:bCs/>
          <w:sz w:val="20"/>
          <w:szCs w:val="20"/>
        </w:rPr>
        <w:t xml:space="preserve">Perkembangan struktur umur penduduk ditentukan oleh adanya perubahan </w:t>
      </w:r>
      <w:r>
        <w:rPr>
          <w:sz w:val="20"/>
          <w:szCs w:val="20"/>
        </w:rPr>
        <w:t>kondisi sosial dan ekonomi serta norma-norma hidup masyarakat. Sebagai contoh, turunnya angka kelahiran (fertilitas) sebagai hasil upaya keras pemerintah melalui pelaksanaan program Keluarga Berencana (KB) menyebabkan pertumbuhan penduduk pada kelompok anak-anak dapat dikendalikan. Membaiknya derajat kesehatan masyarakat seiring dengan membaiknya pelayanan kesehatan menyebabkan semakin tinggi angka harapan</w:t>
      </w:r>
      <w:r>
        <w:rPr>
          <w:sz w:val="20"/>
          <w:szCs w:val="20"/>
          <w:lang w:val="en-US"/>
        </w:rPr>
        <w:t xml:space="preserve"> </w:t>
      </w:r>
      <w:r>
        <w:rPr>
          <w:sz w:val="20"/>
          <w:szCs w:val="20"/>
        </w:rPr>
        <w:t xml:space="preserve">hidup. Di samping itu, globalisasi mempercepat pengaruh pada mobilitas penduduk baik yang bersifat permanen maupun sementara. </w:t>
      </w:r>
    </w:p>
    <w:p>
      <w:pPr>
        <w:pStyle w:val="NoSpacing"/>
        <w:spacing w:line="360" w:lineRule="auto"/>
        <w:ind w:left="284" w:firstLine="567"/>
        <w:jc w:val="both"/>
        <w:rPr>
          <w:sz w:val="20"/>
          <w:szCs w:val="20"/>
        </w:rPr>
      </w:pPr>
      <w:r>
        <w:rPr>
          <w:sz w:val="20"/>
          <w:szCs w:val="20"/>
          <w:lang w:val="en-ID"/>
        </w:rPr>
        <w:t>T</w:t>
      </w:r>
      <w:r>
        <w:rPr>
          <w:sz w:val="20"/>
          <w:szCs w:val="20"/>
          <w:lang w:val="id-ID"/>
        </w:rPr>
        <w:t xml:space="preserve">abel </w:t>
      </w:r>
      <w:r>
        <w:rPr>
          <w:sz w:val="20"/>
          <w:szCs w:val="20"/>
        </w:rPr>
        <w:t>3</w:t>
      </w:r>
      <w:r>
        <w:rPr>
          <w:sz w:val="20"/>
          <w:szCs w:val="20"/>
          <w:lang w:val="id-ID"/>
        </w:rPr>
        <w:t>.1 menunjukkan bahwa dari hasil</w:t>
      </w:r>
      <w:r>
        <w:rPr>
          <w:sz w:val="20"/>
          <w:szCs w:val="20"/>
          <w:lang w:val="en-ID"/>
        </w:rPr>
        <w:t xml:space="preserve"> proyeksi interim</w:t>
      </w:r>
      <w:r>
        <w:rPr>
          <w:sz w:val="20"/>
          <w:szCs w:val="20"/>
          <w:lang w:val="id-ID"/>
        </w:rPr>
        <w:t xml:space="preserve"> </w:t>
      </w:r>
      <w:r>
        <w:rPr>
          <w:sz w:val="20"/>
          <w:szCs w:val="20"/>
        </w:rPr>
        <w:t>sensus</w:t>
      </w:r>
      <w:r>
        <w:rPr>
          <w:sz w:val="20"/>
          <w:szCs w:val="20"/>
          <w:lang w:val="id-ID"/>
        </w:rPr>
        <w:t xml:space="preserve"> penduduk</w:t>
      </w:r>
      <w:r>
        <w:rPr>
          <w:sz w:val="20"/>
          <w:szCs w:val="20"/>
          <w:lang w:val="en-ID"/>
        </w:rPr>
        <w:t xml:space="preserve"> 2021</w:t>
      </w:r>
      <w:r>
        <w:rPr>
          <w:sz w:val="20"/>
          <w:szCs w:val="20"/>
          <w:lang w:val="id-ID"/>
        </w:rPr>
        <w:t>, penduduk laki-laki Kalimantan Tengah berjumlah 1</w:t>
      </w:r>
      <w:r>
        <w:rPr>
          <w:sz w:val="20"/>
          <w:szCs w:val="20"/>
          <w:lang w:val="en-ID"/>
        </w:rPr>
        <w:t>.401.573</w:t>
      </w:r>
      <w:r>
        <w:rPr>
          <w:sz w:val="20"/>
          <w:szCs w:val="20"/>
          <w:lang w:val="id-ID"/>
        </w:rPr>
        <w:t xml:space="preserve"> </w:t>
      </w:r>
      <w:r>
        <w:rPr>
          <w:sz w:val="20"/>
          <w:szCs w:val="20"/>
        </w:rPr>
        <w:t>jiwa</w:t>
      </w:r>
      <w:r>
        <w:rPr>
          <w:sz w:val="20"/>
          <w:szCs w:val="20"/>
          <w:lang w:val="id-ID"/>
        </w:rPr>
        <w:t xml:space="preserve"> (5</w:t>
      </w:r>
      <w:r>
        <w:rPr>
          <w:sz w:val="20"/>
          <w:szCs w:val="20"/>
          <w:lang w:val="en-ID"/>
        </w:rPr>
        <w:t>1</w:t>
      </w:r>
      <w:r>
        <w:rPr>
          <w:sz w:val="20"/>
          <w:szCs w:val="20"/>
          <w:lang w:val="id-ID"/>
        </w:rPr>
        <w:t>,</w:t>
      </w:r>
      <w:r>
        <w:rPr>
          <w:sz w:val="20"/>
          <w:szCs w:val="20"/>
        </w:rPr>
        <w:t>87</w:t>
      </w:r>
      <w:r>
        <w:rPr>
          <w:sz w:val="20"/>
          <w:szCs w:val="20"/>
          <w:lang w:val="id-ID"/>
        </w:rPr>
        <w:t xml:space="preserve"> persen) dan penduduk perempuan berjumlah </w:t>
      </w:r>
      <w:r>
        <w:rPr>
          <w:sz w:val="20"/>
          <w:szCs w:val="20"/>
          <w:lang w:val="en-ID"/>
        </w:rPr>
        <w:t>1.300.597</w:t>
      </w:r>
      <w:r>
        <w:rPr>
          <w:sz w:val="20"/>
          <w:szCs w:val="20"/>
          <w:lang w:val="id-ID"/>
        </w:rPr>
        <w:t xml:space="preserve"> orang (4</w:t>
      </w:r>
      <w:r>
        <w:rPr>
          <w:sz w:val="20"/>
          <w:szCs w:val="20"/>
          <w:lang w:val="en-ID"/>
        </w:rPr>
        <w:t>8,13</w:t>
      </w:r>
      <w:r>
        <w:rPr>
          <w:sz w:val="20"/>
          <w:szCs w:val="20"/>
          <w:lang w:val="id-ID"/>
        </w:rPr>
        <w:t xml:space="preserve"> persen)</w:t>
      </w:r>
      <w:r>
        <w:rPr>
          <w:sz w:val="20"/>
          <w:szCs w:val="20"/>
        </w:rPr>
        <w:t>.</w:t>
      </w:r>
      <w:r>
        <w:rPr>
          <w:sz w:val="20"/>
          <w:szCs w:val="20"/>
          <w:lang w:val="id-ID"/>
        </w:rPr>
        <w:t xml:space="preserve"> </w:t>
      </w:r>
      <w:r>
        <w:rPr>
          <w:sz w:val="20"/>
          <w:szCs w:val="20"/>
        </w:rPr>
        <w:t>Kelompok penduduk terbesar di Kalimantan Tengah ini terdapat pada penduduk usia produktif (20-24 tahun), khususnya penduduk produktif laki-laki. Hal ini salah satunya disebabkan adanya peningkatan jumlah penduduk laki-laki yang umumnya datang dari luar wilayah Provinsi Kalimantan Tengah sebagai migran. Mereka biasanya merupakan tenaga kerja musiman atau rantauan yang masih bujang (belum kawin) dan bekerja di perkebunan kelapa sawit dan karet, proyek-proyek bangunan dan lain sebagainya. Untuk sebagian dari mereka yang sudah berstatus</w:t>
      </w:r>
      <w:r>
        <w:rPr>
          <w:color w:val="800000"/>
          <w:sz w:val="20"/>
          <w:szCs w:val="20"/>
        </w:rPr>
        <w:t xml:space="preserve"> </w:t>
      </w:r>
      <w:r>
        <w:rPr>
          <w:sz w:val="20"/>
          <w:szCs w:val="20"/>
        </w:rPr>
        <w:t xml:space="preserve">kawin, mereka meninggalkan keluarga mereka yang masih bertempat tinggal atau menetap di provinsi sebelumnya. Persentase penduduk laki-laki </w:t>
      </w:r>
      <w:r>
        <w:rPr>
          <w:sz w:val="20"/>
          <w:szCs w:val="20"/>
        </w:rPr>
        <w:lastRenderedPageBreak/>
        <w:t xml:space="preserve">dibandingkan perempuan terbesar di penduduk kelompok umur 55-59 tahun, sedangkan pada penduduk kelompok umur 75 tahun ke atas proporsi perempuan lebih tinggi. Hal ini mengindikasikan angka harapan perempuan lebih tinggi dibandingkan laki-laki. </w:t>
      </w:r>
    </w:p>
    <w:p>
      <w:pPr>
        <w:jc w:val="both"/>
        <w:rPr>
          <w:b/>
          <w:sz w:val="20"/>
          <w:szCs w:val="20"/>
        </w:rPr>
      </w:pPr>
      <w:r>
        <w:rPr>
          <w:b/>
          <w:sz w:val="20"/>
        </w:rPr>
        <w:br w:type="page"/>
      </w:r>
    </w:p>
    <w:p>
      <w:pPr>
        <w:pStyle w:val="BodyText"/>
        <w:spacing w:line="240" w:lineRule="auto"/>
        <w:ind w:left="1418" w:right="27" w:hanging="1134"/>
        <w:jc w:val="both"/>
        <w:rPr>
          <w:rFonts w:asciiTheme="minorHAnsi" w:hAnsiTheme="minorHAnsi" w:cstheme="minorHAnsi"/>
          <w:b/>
        </w:rPr>
      </w:pPr>
      <w:bookmarkStart w:id="35" w:name="_Toc117455866"/>
      <w:r>
        <w:rPr>
          <w:rFonts w:asciiTheme="minorHAnsi" w:hAnsiTheme="minorHAnsi" w:cstheme="minorHAnsi"/>
          <w:b/>
          <w:bCs/>
        </w:rPr>
        <w:lastRenderedPageBreak/>
        <w:t xml:space="preserve">Tabel 3. </w:t>
      </w:r>
      <w:r>
        <w:rPr>
          <w:rFonts w:asciiTheme="minorHAnsi" w:hAnsiTheme="minorHAnsi" w:cstheme="minorHAnsi"/>
          <w:b/>
          <w:bCs/>
        </w:rPr>
        <w:fldChar w:fldCharType="begin"/>
      </w:r>
      <w:r>
        <w:rPr>
          <w:rFonts w:asciiTheme="minorHAnsi" w:hAnsiTheme="minorHAnsi" w:cstheme="minorHAnsi"/>
          <w:b/>
          <w:bCs/>
        </w:rPr>
        <w:instrText xml:space="preserve"> SEQ Tabel_3. \* ARABIC </w:instrText>
      </w:r>
      <w:r>
        <w:rPr>
          <w:rFonts w:asciiTheme="minorHAnsi" w:hAnsiTheme="minorHAnsi" w:cstheme="minorHAnsi"/>
          <w:b/>
          <w:bCs/>
        </w:rPr>
        <w:fldChar w:fldCharType="separate"/>
      </w:r>
      <w:r>
        <w:rPr>
          <w:rFonts w:asciiTheme="minorHAnsi" w:hAnsiTheme="minorHAnsi" w:cstheme="minorHAnsi"/>
          <w:b/>
          <w:bCs/>
          <w:noProof/>
        </w:rPr>
        <w:t>1</w:t>
      </w:r>
      <w:r>
        <w:rPr>
          <w:rFonts w:asciiTheme="minorHAnsi" w:hAnsiTheme="minorHAnsi" w:cstheme="minorHAnsi"/>
          <w:b/>
          <w:bCs/>
        </w:rPr>
        <w:fldChar w:fldCharType="end"/>
      </w:r>
      <w:r>
        <w:rPr>
          <w:rFonts w:asciiTheme="minorHAnsi" w:hAnsiTheme="minorHAnsi" w:cstheme="minorHAnsi"/>
          <w:b/>
          <w:bCs/>
        </w:rPr>
        <w:tab/>
      </w:r>
      <w:r>
        <w:rPr>
          <w:rFonts w:asciiTheme="minorHAnsi" w:hAnsiTheme="minorHAnsi" w:cstheme="minorHAnsi"/>
          <w:b/>
          <w:bCs/>
        </w:rPr>
        <w:tab/>
        <w:t>Jumlah dan Persentase Penduduk menurut  Kelompok Umur dan</w:t>
      </w:r>
      <w:r>
        <w:rPr>
          <w:rFonts w:asciiTheme="minorHAnsi" w:hAnsiTheme="minorHAnsi" w:cstheme="minorHAnsi"/>
          <w:b/>
        </w:rPr>
        <w:t xml:space="preserve"> Jenis Kelamin, 2021</w:t>
      </w:r>
      <w:bookmarkEnd w:id="35"/>
    </w:p>
    <w:tbl>
      <w:tblPr>
        <w:tblStyle w:val="PlainTable2"/>
        <w:tblW w:w="6379" w:type="dxa"/>
        <w:tblInd w:w="250" w:type="dxa"/>
        <w:tblLayout w:type="fixed"/>
        <w:tblLook w:val="0000" w:firstRow="0" w:lastRow="0" w:firstColumn="0" w:lastColumn="0" w:noHBand="0" w:noVBand="0"/>
      </w:tblPr>
      <w:tblGrid>
        <w:gridCol w:w="992"/>
        <w:gridCol w:w="993"/>
        <w:gridCol w:w="992"/>
        <w:gridCol w:w="992"/>
        <w:gridCol w:w="709"/>
        <w:gridCol w:w="992"/>
        <w:gridCol w:w="709"/>
      </w:tblGrid>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vMerge w:val="restart"/>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Kelompok Umur</w:t>
            </w:r>
          </w:p>
        </w:tc>
        <w:tc>
          <w:tcPr>
            <w:cnfStyle w:val="000001000000" w:firstRow="0" w:lastRow="0" w:firstColumn="0" w:lastColumn="0" w:oddVBand="0" w:evenVBand="1" w:oddHBand="0" w:evenHBand="0" w:firstRowFirstColumn="0" w:firstRowLastColumn="0" w:lastRowFirstColumn="0" w:lastRowLastColumn="0"/>
            <w:tcW w:w="2977" w:type="dxa"/>
            <w:gridSpan w:val="3"/>
            <w:shd w:val="clear" w:color="auto" w:fill="403152" w:themeFill="accent4" w:themeFillShade="80"/>
            <w:vAlign w:val="center"/>
          </w:tcPr>
          <w:p>
            <w:pPr>
              <w:pStyle w:val="Heading3"/>
              <w:spacing w:before="0"/>
              <w:jc w:val="center"/>
              <w:outlineLvl w:val="2"/>
              <w:rPr>
                <w:rFonts w:asciiTheme="minorHAnsi" w:hAnsiTheme="minorHAnsi" w:cstheme="minorHAnsi"/>
                <w:b/>
                <w:color w:val="FFFFFF" w:themeColor="background1"/>
                <w:sz w:val="16"/>
                <w:szCs w:val="16"/>
              </w:rPr>
            </w:pPr>
            <w:bookmarkStart w:id="36" w:name="_Toc117495994"/>
            <w:bookmarkStart w:id="37" w:name="_Toc117515293"/>
            <w:bookmarkStart w:id="38" w:name="_Toc118715977"/>
            <w:r>
              <w:rPr>
                <w:rFonts w:asciiTheme="minorHAnsi" w:hAnsiTheme="minorHAnsi" w:cstheme="minorHAnsi"/>
                <w:color w:val="FFFFFF" w:themeColor="background1"/>
                <w:sz w:val="16"/>
                <w:szCs w:val="16"/>
              </w:rPr>
              <w:t>Jumlah Penduduk</w:t>
            </w:r>
            <w:bookmarkEnd w:id="36"/>
            <w:bookmarkEnd w:id="37"/>
            <w:bookmarkEnd w:id="38"/>
          </w:p>
        </w:tc>
        <w:tc>
          <w:tcPr>
            <w:cnfStyle w:val="000010000000" w:firstRow="0" w:lastRow="0" w:firstColumn="0" w:lastColumn="0" w:oddVBand="1" w:evenVBand="0" w:oddHBand="0" w:evenHBand="0" w:firstRowFirstColumn="0" w:firstRowLastColumn="0" w:lastRowFirstColumn="0" w:lastRowLastColumn="0"/>
            <w:tcW w:w="2410" w:type="dxa"/>
            <w:gridSpan w:val="3"/>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Persentase</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vMerge/>
            <w:shd w:val="clear" w:color="auto" w:fill="403152" w:themeFill="accent4" w:themeFillShade="80"/>
            <w:vAlign w:val="center"/>
          </w:tcPr>
          <w:p>
            <w:pPr>
              <w:jc w:val="center"/>
              <w:rPr>
                <w:rFonts w:cstheme="minorHAnsi"/>
                <w:snapToGrid w:val="0"/>
                <w:color w:val="FFFFFF" w:themeColor="background1"/>
                <w:sz w:val="16"/>
                <w:szCs w:val="16"/>
              </w:rPr>
            </w:pPr>
          </w:p>
        </w:tc>
        <w:tc>
          <w:tcPr>
            <w:cnfStyle w:val="000001000000" w:firstRow="0" w:lastRow="0" w:firstColumn="0" w:lastColumn="0" w:oddVBand="0" w:evenVBand="1" w:oddHBand="0" w:evenHBand="0" w:firstRowFirstColumn="0" w:firstRowLastColumn="0" w:lastRowFirstColumn="0" w:lastRowLastColumn="0"/>
            <w:tcW w:w="993" w:type="dxa"/>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Laki-laki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Perempuan</w:t>
            </w:r>
          </w:p>
        </w:tc>
        <w:tc>
          <w:tcPr>
            <w:cnfStyle w:val="000001000000" w:firstRow="0" w:lastRow="0" w:firstColumn="0" w:lastColumn="0" w:oddVBand="0" w:evenVBand="1" w:oddHBand="0" w:evenHBand="0" w:firstRowFirstColumn="0" w:firstRowLastColumn="0" w:lastRowFirstColumn="0" w:lastRowLastColumn="0"/>
            <w:tcW w:w="992" w:type="dxa"/>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Jumlah</w:t>
            </w:r>
          </w:p>
        </w:tc>
        <w:tc>
          <w:tcPr>
            <w:cnfStyle w:val="000010000000" w:firstRow="0" w:lastRow="0" w:firstColumn="0" w:lastColumn="0" w:oddVBand="1" w:evenVBand="0" w:oddHBand="0" w:evenHBand="0" w:firstRowFirstColumn="0" w:firstRowLastColumn="0" w:lastRowFirstColumn="0" w:lastRowLastColumn="0"/>
            <w:tcW w:w="709" w:type="dxa"/>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Laki-laki</w:t>
            </w:r>
          </w:p>
        </w:tc>
        <w:tc>
          <w:tcPr>
            <w:cnfStyle w:val="000001000000" w:firstRow="0" w:lastRow="0" w:firstColumn="0" w:lastColumn="0" w:oddVBand="0" w:evenVBand="1" w:oddHBand="0" w:evenHBand="0" w:firstRowFirstColumn="0" w:firstRowLastColumn="0" w:lastRowFirstColumn="0" w:lastRowLastColumn="0"/>
            <w:tcW w:w="992" w:type="dxa"/>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Perempuan</w:t>
            </w:r>
          </w:p>
        </w:tc>
        <w:tc>
          <w:tcPr>
            <w:cnfStyle w:val="000010000000" w:firstRow="0" w:lastRow="0" w:firstColumn="0" w:lastColumn="0" w:oddVBand="1" w:evenVBand="0" w:oddHBand="0" w:evenHBand="0" w:firstRowFirstColumn="0" w:firstRowLastColumn="0" w:lastRowFirstColumn="0" w:lastRowLastColumn="0"/>
            <w:tcW w:w="709" w:type="dxa"/>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Jumlah</w:t>
            </w:r>
          </w:p>
        </w:tc>
      </w:tr>
      <w:tr>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992" w:type="dxa"/>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(1)</w:t>
            </w:r>
          </w:p>
        </w:tc>
        <w:tc>
          <w:tcPr>
            <w:cnfStyle w:val="000001000000" w:firstRow="0" w:lastRow="0" w:firstColumn="0" w:lastColumn="0" w:oddVBand="0" w:evenVBand="1" w:oddHBand="0" w:evenHBand="0" w:firstRowFirstColumn="0" w:firstRowLastColumn="0" w:lastRowFirstColumn="0" w:lastRowLastColumn="0"/>
            <w:tcW w:w="993" w:type="dxa"/>
            <w:tcBorders>
              <w:bottom w:val="single" w:sz="4" w:space="0" w:color="auto"/>
            </w:tcBorders>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(2)</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(3)</w:t>
            </w:r>
          </w:p>
        </w:tc>
        <w:tc>
          <w:tcPr>
            <w:cnfStyle w:val="000001000000" w:firstRow="0" w:lastRow="0" w:firstColumn="0" w:lastColumn="0" w:oddVBand="0" w:evenVBand="1" w:oddHBand="0" w:evenHBand="0" w:firstRowFirstColumn="0" w:firstRowLastColumn="0" w:lastRowFirstColumn="0" w:lastRowLastColumn="0"/>
            <w:tcW w:w="992" w:type="dxa"/>
            <w:tcBorders>
              <w:bottom w:val="single" w:sz="4" w:space="0" w:color="auto"/>
            </w:tcBorders>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(4)</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auto"/>
            </w:tcBorders>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(5)</w:t>
            </w:r>
          </w:p>
        </w:tc>
        <w:tc>
          <w:tcPr>
            <w:cnfStyle w:val="000001000000" w:firstRow="0" w:lastRow="0" w:firstColumn="0" w:lastColumn="0" w:oddVBand="0" w:evenVBand="1" w:oddHBand="0" w:evenHBand="0" w:firstRowFirstColumn="0" w:firstRowLastColumn="0" w:lastRowFirstColumn="0" w:lastRowLastColumn="0"/>
            <w:tcW w:w="992" w:type="dxa"/>
            <w:tcBorders>
              <w:bottom w:val="single" w:sz="4" w:space="0" w:color="auto"/>
            </w:tcBorders>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403152" w:themeFill="accent4" w:themeFillShade="80"/>
            <w:vAlign w:val="center"/>
          </w:tcPr>
          <w:p>
            <w:pPr>
              <w:jc w:val="center"/>
              <w:rPr>
                <w:rFonts w:cstheme="minorHAnsi"/>
                <w:snapToGrid w:val="0"/>
                <w:color w:val="FFFFFF" w:themeColor="background1"/>
                <w:sz w:val="16"/>
                <w:szCs w:val="16"/>
              </w:rPr>
            </w:pPr>
            <w:r>
              <w:rPr>
                <w:rFonts w:cstheme="minorHAnsi"/>
                <w:snapToGrid w:val="0"/>
                <w:color w:val="FFFFFF" w:themeColor="background1"/>
                <w:sz w:val="16"/>
                <w:szCs w:val="16"/>
              </w:rPr>
              <w:t>(7)</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jc w:val="both"/>
              <w:rPr>
                <w:rFonts w:cstheme="minorHAnsi"/>
                <w:snapToGrid w:val="0"/>
                <w:color w:val="000000"/>
                <w:sz w:val="16"/>
                <w:szCs w:val="16"/>
              </w:rPr>
            </w:pPr>
            <w:r>
              <w:rPr>
                <w:rFonts w:cstheme="minorHAnsi"/>
                <w:snapToGrid w:val="0"/>
                <w:color w:val="000000"/>
                <w:sz w:val="16"/>
                <w:szCs w:val="16"/>
              </w:rPr>
              <w:t>0 – 4</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112.989</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107.813</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220.802</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51,17</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48,83</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100,00</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5DFEC" w:themeFill="accent4" w:themeFillTint="33"/>
            <w:vAlign w:val="center"/>
          </w:tcPr>
          <w:p>
            <w:pPr>
              <w:jc w:val="both"/>
              <w:rPr>
                <w:rFonts w:cstheme="minorHAnsi"/>
                <w:snapToGrid w:val="0"/>
                <w:color w:val="000000"/>
                <w:sz w:val="16"/>
                <w:szCs w:val="16"/>
              </w:rPr>
            </w:pPr>
            <w:r>
              <w:rPr>
                <w:rFonts w:cstheme="minorHAnsi"/>
                <w:snapToGrid w:val="0"/>
                <w:color w:val="000000"/>
                <w:sz w:val="16"/>
                <w:szCs w:val="16"/>
              </w:rPr>
              <w:t>5 – 9</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112.363</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107.425</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219.788</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51,12</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48,88</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100,00</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jc w:val="both"/>
              <w:rPr>
                <w:rFonts w:cstheme="minorHAnsi"/>
                <w:snapToGrid w:val="0"/>
                <w:color w:val="000000"/>
                <w:sz w:val="16"/>
                <w:szCs w:val="16"/>
              </w:rPr>
            </w:pPr>
            <w:r>
              <w:rPr>
                <w:rFonts w:cstheme="minorHAnsi"/>
                <w:snapToGrid w:val="0"/>
                <w:color w:val="000000"/>
                <w:sz w:val="16"/>
                <w:szCs w:val="16"/>
              </w:rPr>
              <w:t>10 – 14</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119.681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112.276</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231.957</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51,60</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48,40</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100,00</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5DFEC" w:themeFill="accent4" w:themeFillTint="33"/>
            <w:vAlign w:val="center"/>
          </w:tcPr>
          <w:p>
            <w:pPr>
              <w:jc w:val="both"/>
              <w:rPr>
                <w:rFonts w:cstheme="minorHAnsi"/>
                <w:snapToGrid w:val="0"/>
                <w:color w:val="000000"/>
                <w:sz w:val="16"/>
                <w:szCs w:val="16"/>
              </w:rPr>
            </w:pPr>
            <w:r>
              <w:rPr>
                <w:rFonts w:cstheme="minorHAnsi"/>
                <w:snapToGrid w:val="0"/>
                <w:color w:val="000000"/>
                <w:sz w:val="16"/>
                <w:szCs w:val="16"/>
              </w:rPr>
              <w:t>15 – 19</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122.631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114.094</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236.725</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51,80</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48,20</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100,00</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jc w:val="both"/>
              <w:rPr>
                <w:rFonts w:cstheme="minorHAnsi"/>
                <w:snapToGrid w:val="0"/>
                <w:color w:val="000000"/>
                <w:sz w:val="16"/>
                <w:szCs w:val="16"/>
              </w:rPr>
            </w:pPr>
            <w:r>
              <w:rPr>
                <w:rFonts w:cstheme="minorHAnsi"/>
                <w:snapToGrid w:val="0"/>
                <w:color w:val="000000"/>
                <w:sz w:val="16"/>
                <w:szCs w:val="16"/>
              </w:rPr>
              <w:t>20 – 24</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124.203</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117.005</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241.208</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51,49</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48,51</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100,00</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5DFEC" w:themeFill="accent4" w:themeFillTint="33"/>
            <w:vAlign w:val="center"/>
          </w:tcPr>
          <w:p>
            <w:pPr>
              <w:jc w:val="both"/>
              <w:rPr>
                <w:rFonts w:cstheme="minorHAnsi"/>
                <w:snapToGrid w:val="0"/>
                <w:color w:val="000000"/>
                <w:sz w:val="16"/>
                <w:szCs w:val="16"/>
              </w:rPr>
            </w:pPr>
            <w:r>
              <w:rPr>
                <w:rFonts w:cstheme="minorHAnsi"/>
                <w:snapToGrid w:val="0"/>
                <w:color w:val="000000"/>
                <w:sz w:val="16"/>
                <w:szCs w:val="16"/>
              </w:rPr>
              <w:t>25 – 29</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122.497</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115.265</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237.762</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51,52</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48,48</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100,00</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jc w:val="both"/>
              <w:rPr>
                <w:rFonts w:cstheme="minorHAnsi"/>
                <w:snapToGrid w:val="0"/>
                <w:color w:val="000000"/>
                <w:sz w:val="16"/>
                <w:szCs w:val="16"/>
              </w:rPr>
            </w:pPr>
            <w:r>
              <w:rPr>
                <w:rFonts w:cstheme="minorHAnsi"/>
                <w:snapToGrid w:val="0"/>
                <w:color w:val="000000"/>
                <w:sz w:val="16"/>
                <w:szCs w:val="16"/>
              </w:rPr>
              <w:t>30 – 34</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120.833</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112.780</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233.613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51,72</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48,28</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100,00</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5DFEC" w:themeFill="accent4" w:themeFillTint="33"/>
            <w:vAlign w:val="center"/>
          </w:tcPr>
          <w:p>
            <w:pPr>
              <w:jc w:val="both"/>
              <w:rPr>
                <w:rFonts w:cstheme="minorHAnsi"/>
                <w:snapToGrid w:val="0"/>
                <w:color w:val="000000"/>
                <w:sz w:val="16"/>
                <w:szCs w:val="16"/>
              </w:rPr>
            </w:pPr>
            <w:r>
              <w:rPr>
                <w:rFonts w:cstheme="minorHAnsi"/>
                <w:snapToGrid w:val="0"/>
                <w:color w:val="000000"/>
                <w:sz w:val="16"/>
                <w:szCs w:val="16"/>
              </w:rPr>
              <w:t>35 – 39</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114.304</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106.780</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221.084</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51,70</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48,30</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100,00</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jc w:val="both"/>
              <w:rPr>
                <w:rFonts w:cstheme="minorHAnsi"/>
                <w:snapToGrid w:val="0"/>
                <w:color w:val="000000"/>
                <w:sz w:val="16"/>
                <w:szCs w:val="16"/>
              </w:rPr>
            </w:pPr>
            <w:r>
              <w:rPr>
                <w:rFonts w:cstheme="minorHAnsi"/>
                <w:snapToGrid w:val="0"/>
                <w:color w:val="000000"/>
                <w:sz w:val="16"/>
                <w:szCs w:val="16"/>
              </w:rPr>
              <w:t>40 – 44</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107.589</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98.095</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205.684</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52,31</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47,69</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100,00</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5DFEC" w:themeFill="accent4" w:themeFillTint="33"/>
            <w:vAlign w:val="center"/>
          </w:tcPr>
          <w:p>
            <w:pPr>
              <w:jc w:val="both"/>
              <w:rPr>
                <w:rFonts w:cstheme="minorHAnsi"/>
                <w:snapToGrid w:val="0"/>
                <w:color w:val="000000"/>
                <w:sz w:val="16"/>
                <w:szCs w:val="16"/>
              </w:rPr>
            </w:pPr>
            <w:r>
              <w:rPr>
                <w:rFonts w:cstheme="minorHAnsi"/>
                <w:snapToGrid w:val="0"/>
                <w:color w:val="000000"/>
                <w:sz w:val="16"/>
                <w:szCs w:val="16"/>
              </w:rPr>
              <w:t>45 – 49</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95.038</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85.593</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180.631</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52,61</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47,39</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100,00</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jc w:val="both"/>
              <w:rPr>
                <w:rFonts w:cstheme="minorHAnsi"/>
                <w:snapToGrid w:val="0"/>
                <w:color w:val="000000"/>
                <w:sz w:val="16"/>
                <w:szCs w:val="16"/>
              </w:rPr>
            </w:pPr>
            <w:r>
              <w:rPr>
                <w:rFonts w:cstheme="minorHAnsi"/>
                <w:snapToGrid w:val="0"/>
                <w:color w:val="000000"/>
                <w:sz w:val="16"/>
                <w:szCs w:val="16"/>
              </w:rPr>
              <w:t>50 – 54</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78.157</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68.951</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147.108</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53,13</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46,87</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100,00</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5DFEC" w:themeFill="accent4" w:themeFillTint="33"/>
            <w:vAlign w:val="center"/>
          </w:tcPr>
          <w:p>
            <w:pPr>
              <w:jc w:val="both"/>
              <w:rPr>
                <w:rFonts w:cstheme="minorHAnsi"/>
                <w:snapToGrid w:val="0"/>
                <w:color w:val="000000"/>
                <w:sz w:val="16"/>
                <w:szCs w:val="16"/>
              </w:rPr>
            </w:pPr>
            <w:r>
              <w:rPr>
                <w:rFonts w:cstheme="minorHAnsi"/>
                <w:snapToGrid w:val="0"/>
                <w:color w:val="000000"/>
                <w:sz w:val="16"/>
                <w:szCs w:val="16"/>
              </w:rPr>
              <w:t>55 – 59</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61.831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54.235</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116.066</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53,27</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46,73</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100,00</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jc w:val="both"/>
              <w:rPr>
                <w:rFonts w:cstheme="minorHAnsi"/>
                <w:snapToGrid w:val="0"/>
                <w:color w:val="000000"/>
                <w:sz w:val="16"/>
                <w:szCs w:val="16"/>
              </w:rPr>
            </w:pPr>
            <w:r>
              <w:rPr>
                <w:rFonts w:cstheme="minorHAnsi"/>
                <w:snapToGrid w:val="0"/>
                <w:color w:val="000000"/>
                <w:sz w:val="16"/>
                <w:szCs w:val="16"/>
              </w:rPr>
              <w:t>60 – 64</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44.354</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39.063</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83.417</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53,17</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46,83</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100,00</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5DFEC" w:themeFill="accent4" w:themeFillTint="33"/>
            <w:vAlign w:val="center"/>
          </w:tcPr>
          <w:p>
            <w:pPr>
              <w:jc w:val="both"/>
              <w:rPr>
                <w:rFonts w:cstheme="minorHAnsi"/>
                <w:snapToGrid w:val="0"/>
                <w:color w:val="000000"/>
                <w:sz w:val="16"/>
                <w:szCs w:val="16"/>
              </w:rPr>
            </w:pPr>
            <w:r>
              <w:rPr>
                <w:rFonts w:cstheme="minorHAnsi"/>
                <w:snapToGrid w:val="0"/>
                <w:color w:val="000000"/>
                <w:sz w:val="16"/>
                <w:szCs w:val="16"/>
              </w:rPr>
              <w:t>65 – 69</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29.806</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26.653</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56.459</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52,79</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47,21</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100,00</w:t>
            </w:r>
          </w:p>
        </w:tc>
      </w:tr>
      <w:tr>
        <w:trPr>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jc w:val="both"/>
              <w:rPr>
                <w:rFonts w:cstheme="minorHAnsi"/>
                <w:snapToGrid w:val="0"/>
                <w:color w:val="000000"/>
                <w:sz w:val="16"/>
                <w:szCs w:val="16"/>
              </w:rPr>
            </w:pPr>
            <w:r>
              <w:rPr>
                <w:rFonts w:cstheme="minorHAnsi"/>
                <w:snapToGrid w:val="0"/>
                <w:color w:val="000000"/>
                <w:sz w:val="16"/>
                <w:szCs w:val="16"/>
              </w:rPr>
              <w:t>70 – 74</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18.576</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17.208</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35.784</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51,91</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48,09</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shd w:val="clear" w:color="auto" w:fill="EAF1DD" w:themeFill="accent3" w:themeFillTint="33"/>
            <w:vAlign w:val="center"/>
          </w:tcPr>
          <w:p>
            <w:pPr>
              <w:jc w:val="both"/>
              <w:rPr>
                <w:rFonts w:cstheme="minorHAnsi"/>
                <w:color w:val="000000"/>
                <w:sz w:val="16"/>
                <w:szCs w:val="16"/>
              </w:rPr>
            </w:pPr>
            <w:r>
              <w:rPr>
                <w:rFonts w:cstheme="minorHAnsi"/>
                <w:color w:val="000000"/>
                <w:sz w:val="16"/>
                <w:szCs w:val="16"/>
              </w:rPr>
              <w:t>100,00</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5DFEC" w:themeFill="accent4" w:themeFillTint="33"/>
            <w:vAlign w:val="center"/>
          </w:tcPr>
          <w:p>
            <w:pPr>
              <w:jc w:val="both"/>
              <w:rPr>
                <w:rFonts w:cstheme="minorHAnsi"/>
                <w:snapToGrid w:val="0"/>
                <w:color w:val="000000"/>
                <w:sz w:val="16"/>
                <w:szCs w:val="16"/>
              </w:rPr>
            </w:pPr>
            <w:r>
              <w:rPr>
                <w:rFonts w:cstheme="minorHAnsi"/>
                <w:snapToGrid w:val="0"/>
                <w:color w:val="000000"/>
                <w:sz w:val="16"/>
                <w:szCs w:val="16"/>
              </w:rPr>
              <w:t>75+</w:t>
            </w:r>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16.721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17.361</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34.082</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49,06</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50,94</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bottom w:val="single" w:sz="4" w:space="0" w:color="auto"/>
            </w:tcBorders>
            <w:shd w:val="clear" w:color="auto" w:fill="E5DFEC" w:themeFill="accent4" w:themeFillTint="33"/>
            <w:vAlign w:val="center"/>
          </w:tcPr>
          <w:p>
            <w:pPr>
              <w:jc w:val="both"/>
              <w:rPr>
                <w:rFonts w:cstheme="minorHAnsi"/>
                <w:color w:val="000000"/>
                <w:sz w:val="16"/>
                <w:szCs w:val="16"/>
              </w:rPr>
            </w:pPr>
            <w:r>
              <w:rPr>
                <w:rFonts w:cstheme="minorHAnsi"/>
                <w:color w:val="000000"/>
                <w:sz w:val="16"/>
                <w:szCs w:val="16"/>
              </w:rPr>
              <w:t>100,00</w:t>
            </w:r>
          </w:p>
        </w:tc>
      </w:tr>
      <w:tr>
        <w:trPr>
          <w:trHeight w:val="421"/>
        </w:trPr>
        <w:tc>
          <w:tcPr>
            <w:cnfStyle w:val="000010000000" w:firstRow="0" w:lastRow="0" w:firstColumn="0" w:lastColumn="0" w:oddVBand="1" w:evenVBand="0" w:oddHBand="0" w:evenHBand="0" w:firstRowFirstColumn="0" w:firstRowLastColumn="0" w:lastRowFirstColumn="0" w:lastRowLastColumn="0"/>
            <w:tcW w:w="992" w:type="dxa"/>
            <w:tcBorders>
              <w:right w:val="single" w:sz="4" w:space="0" w:color="auto"/>
            </w:tcBorders>
            <w:shd w:val="clear" w:color="auto" w:fill="EAF1DD" w:themeFill="accent3" w:themeFillTint="33"/>
            <w:vAlign w:val="center"/>
          </w:tcPr>
          <w:p>
            <w:pPr>
              <w:pStyle w:val="Heading3"/>
              <w:spacing w:before="0"/>
              <w:ind w:left="-40"/>
              <w:jc w:val="both"/>
              <w:outlineLvl w:val="2"/>
              <w:rPr>
                <w:rFonts w:asciiTheme="minorHAnsi" w:hAnsiTheme="minorHAnsi" w:cstheme="minorHAnsi"/>
                <w:b/>
                <w:sz w:val="16"/>
                <w:szCs w:val="16"/>
              </w:rPr>
            </w:pPr>
            <w:bookmarkStart w:id="39" w:name="_Toc117495995"/>
            <w:bookmarkStart w:id="40" w:name="_Toc117515294"/>
            <w:bookmarkStart w:id="41" w:name="_Toc118715978"/>
            <w:r>
              <w:rPr>
                <w:rFonts w:asciiTheme="minorHAnsi" w:hAnsiTheme="minorHAnsi" w:cstheme="minorHAnsi"/>
                <w:sz w:val="16"/>
                <w:szCs w:val="16"/>
              </w:rPr>
              <w:t>Jumlah</w:t>
            </w:r>
            <w:bookmarkEnd w:id="39"/>
            <w:bookmarkEnd w:id="40"/>
            <w:bookmarkEnd w:id="41"/>
          </w:p>
        </w:tc>
        <w:tc>
          <w:tcPr>
            <w:cnfStyle w:val="000001000000" w:firstRow="0" w:lastRow="0" w:firstColumn="0" w:lastColumn="0" w:oddVBand="0" w:evenVBand="1"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b/>
                <w:bCs/>
                <w:sz w:val="16"/>
                <w:szCs w:val="16"/>
              </w:rPr>
            </w:pPr>
            <w:r>
              <w:rPr>
                <w:rFonts w:cstheme="minorHAnsi"/>
                <w:color w:val="000000"/>
                <w:sz w:val="16"/>
                <w:szCs w:val="16"/>
              </w:rPr>
              <w:t>1.401.573</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b/>
                <w:bCs/>
                <w:sz w:val="16"/>
                <w:szCs w:val="16"/>
              </w:rPr>
            </w:pPr>
            <w:r>
              <w:rPr>
                <w:rFonts w:cstheme="minorHAnsi"/>
                <w:color w:val="000000"/>
                <w:sz w:val="16"/>
                <w:szCs w:val="16"/>
              </w:rPr>
              <w:t>1.300.597</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b/>
                <w:bCs/>
                <w:sz w:val="16"/>
                <w:szCs w:val="16"/>
              </w:rPr>
            </w:pPr>
            <w:r>
              <w:rPr>
                <w:rFonts w:cstheme="minorHAnsi"/>
                <w:color w:val="000000"/>
                <w:sz w:val="16"/>
                <w:szCs w:val="16"/>
              </w:rPr>
              <w:t>2.702.170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nil"/>
            </w:tcBorders>
            <w:shd w:val="clear" w:color="auto" w:fill="EAF1DD" w:themeFill="accent3" w:themeFillTint="33"/>
            <w:vAlign w:val="center"/>
          </w:tcPr>
          <w:p>
            <w:pPr>
              <w:jc w:val="both"/>
              <w:rPr>
                <w:rFonts w:cstheme="minorHAnsi"/>
                <w:b/>
                <w:sz w:val="16"/>
                <w:szCs w:val="16"/>
              </w:rPr>
            </w:pP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nil"/>
              <w:bottom w:val="single" w:sz="4" w:space="0" w:color="auto"/>
              <w:right w:val="nil"/>
            </w:tcBorders>
            <w:shd w:val="clear" w:color="auto" w:fill="EAF1DD" w:themeFill="accent3" w:themeFillTint="33"/>
            <w:vAlign w:val="center"/>
          </w:tcPr>
          <w:p>
            <w:pPr>
              <w:jc w:val="both"/>
              <w:rPr>
                <w:rFonts w:cstheme="minorHAnsi"/>
                <w:b/>
                <w:sz w:val="16"/>
                <w:szCs w:val="16"/>
              </w:rPr>
            </w:pP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pPr>
              <w:jc w:val="both"/>
              <w:rPr>
                <w:rFonts w:cstheme="minorHAnsi"/>
                <w:b/>
                <w:sz w:val="16"/>
                <w:szCs w:val="16"/>
              </w:rPr>
            </w:pPr>
          </w:p>
        </w:tc>
      </w:tr>
    </w:tbl>
    <w:p>
      <w:pPr>
        <w:pStyle w:val="BodyText"/>
        <w:ind w:left="142"/>
        <w:jc w:val="both"/>
        <w:rPr>
          <w:rFonts w:asciiTheme="minorHAnsi" w:hAnsiTheme="minorHAnsi"/>
          <w:i/>
          <w:iCs/>
          <w:szCs w:val="18"/>
        </w:rPr>
      </w:pPr>
      <w:r>
        <w:rPr>
          <w:rFonts w:asciiTheme="minorHAnsi" w:hAnsiTheme="minorHAnsi"/>
          <w:i/>
          <w:iCs/>
          <w:szCs w:val="18"/>
        </w:rPr>
        <w:t>Sumber : Proyeksi Interim hasil Sensus Penduduk 2020</w:t>
      </w:r>
    </w:p>
    <w:p>
      <w:pPr>
        <w:pStyle w:val="BodyText"/>
        <w:jc w:val="both"/>
        <w:rPr>
          <w:rFonts w:asciiTheme="minorHAnsi" w:hAnsiTheme="minorHAnsi"/>
          <w:i/>
          <w:iCs/>
          <w:szCs w:val="18"/>
        </w:rPr>
      </w:pPr>
    </w:p>
    <w:p>
      <w:pPr>
        <w:pStyle w:val="Heading2"/>
        <w:numPr>
          <w:ilvl w:val="1"/>
          <w:numId w:val="20"/>
        </w:numPr>
        <w:ind w:left="709" w:hanging="425"/>
        <w:jc w:val="both"/>
        <w:rPr>
          <w:sz w:val="20"/>
          <w:szCs w:val="20"/>
          <w:lang w:val="en-US"/>
        </w:rPr>
      </w:pPr>
      <w:r>
        <w:rPr>
          <w:sz w:val="20"/>
          <w:szCs w:val="20"/>
          <w:lang w:val="en-US"/>
        </w:rPr>
        <w:lastRenderedPageBreak/>
        <w:t xml:space="preserve"> </w:t>
      </w:r>
      <w:bookmarkStart w:id="42" w:name="_Toc118715979"/>
      <w:r>
        <w:rPr>
          <w:rFonts w:asciiTheme="minorHAnsi" w:hAnsiTheme="minorHAnsi"/>
          <w:sz w:val="20"/>
          <w:szCs w:val="20"/>
        </w:rPr>
        <w:t>Rasio Jenis Kelamin</w:t>
      </w:r>
      <w:bookmarkEnd w:id="42"/>
    </w:p>
    <w:p>
      <w:pPr>
        <w:pStyle w:val="BodyText"/>
        <w:spacing w:line="360" w:lineRule="auto"/>
        <w:ind w:left="284" w:firstLine="567"/>
        <w:jc w:val="both"/>
        <w:rPr>
          <w:rFonts w:asciiTheme="minorHAnsi" w:hAnsiTheme="minorHAnsi"/>
        </w:rPr>
      </w:pPr>
      <w:r>
        <w:rPr>
          <w:rFonts w:asciiTheme="minorHAnsi" w:hAnsiTheme="minorHAnsi"/>
        </w:rPr>
        <w:t>Rasio jenis kelamin (</w:t>
      </w:r>
      <w:r>
        <w:rPr>
          <w:rFonts w:asciiTheme="minorHAnsi" w:hAnsiTheme="minorHAnsi"/>
          <w:i/>
          <w:iCs/>
        </w:rPr>
        <w:t>sex ratio</w:t>
      </w:r>
      <w:r>
        <w:rPr>
          <w:rFonts w:asciiTheme="minorHAnsi" w:hAnsiTheme="minorHAnsi"/>
        </w:rPr>
        <w:t>) adalah salah satu dari indikator demografi yang menggambarkan banyaknya penduduk laki-laki dari setiap 100 penduduk perempuan. Selama kurun waktu 21 tahun terakhir rasio jenis kelamin Provinsi Kalimantan Tengah mengalami sedikit perubahan, yaitu sebesar 107 (setiap 100 penduduk perempuan ada 107 penduduk laki-laki) pada tahun 2000 menjadi 108 pada tahun 2021 (Tabel 3.2).</w:t>
      </w: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ind w:left="284" w:firstLine="567"/>
        <w:jc w:val="both"/>
        <w:rPr>
          <w:rFonts w:asciiTheme="minorHAnsi" w:hAnsiTheme="minorHAnsi"/>
          <w:sz w:val="22"/>
          <w:szCs w:val="22"/>
        </w:rPr>
      </w:pPr>
    </w:p>
    <w:p>
      <w:pPr>
        <w:pStyle w:val="BodyText"/>
        <w:spacing w:line="360" w:lineRule="auto"/>
        <w:jc w:val="both"/>
        <w:rPr>
          <w:rFonts w:asciiTheme="minorHAnsi" w:hAnsiTheme="minorHAnsi"/>
          <w:sz w:val="22"/>
          <w:szCs w:val="22"/>
        </w:rPr>
      </w:pPr>
    </w:p>
    <w:p>
      <w:pPr>
        <w:pStyle w:val="Caption"/>
        <w:spacing w:after="0"/>
        <w:ind w:left="1418" w:hanging="1134"/>
        <w:jc w:val="both"/>
        <w:rPr>
          <w:b/>
          <w:bCs/>
          <w:i w:val="0"/>
          <w:iCs w:val="0"/>
          <w:color w:val="000000" w:themeColor="text1"/>
          <w:sz w:val="20"/>
          <w:szCs w:val="20"/>
        </w:rPr>
      </w:pPr>
      <w:bookmarkStart w:id="43" w:name="_Toc117455867"/>
      <w:r>
        <w:rPr>
          <w:b/>
          <w:bCs/>
          <w:i w:val="0"/>
          <w:iCs w:val="0"/>
          <w:color w:val="000000" w:themeColor="text1"/>
          <w:sz w:val="20"/>
          <w:szCs w:val="20"/>
        </w:rPr>
        <w:lastRenderedPageBreak/>
        <w:t xml:space="preserve">Tabel 3. </w:t>
      </w:r>
      <w:r>
        <w:rPr>
          <w:b/>
          <w:bCs/>
          <w:i w:val="0"/>
          <w:iCs w:val="0"/>
          <w:color w:val="000000" w:themeColor="text1"/>
          <w:sz w:val="20"/>
          <w:szCs w:val="20"/>
        </w:rPr>
        <w:fldChar w:fldCharType="begin"/>
      </w:r>
      <w:r>
        <w:rPr>
          <w:b/>
          <w:bCs/>
          <w:i w:val="0"/>
          <w:iCs w:val="0"/>
          <w:color w:val="000000" w:themeColor="text1"/>
          <w:sz w:val="20"/>
          <w:szCs w:val="20"/>
        </w:rPr>
        <w:instrText xml:space="preserve"> SEQ Tabel_3. \* ARABIC </w:instrText>
      </w:r>
      <w:r>
        <w:rPr>
          <w:b/>
          <w:bCs/>
          <w:i w:val="0"/>
          <w:iCs w:val="0"/>
          <w:color w:val="000000" w:themeColor="text1"/>
          <w:sz w:val="20"/>
          <w:szCs w:val="20"/>
        </w:rPr>
        <w:fldChar w:fldCharType="separate"/>
      </w:r>
      <w:r>
        <w:rPr>
          <w:b/>
          <w:bCs/>
          <w:i w:val="0"/>
          <w:iCs w:val="0"/>
          <w:noProof/>
          <w:color w:val="000000" w:themeColor="text1"/>
          <w:sz w:val="20"/>
          <w:szCs w:val="20"/>
        </w:rPr>
        <w:t>2</w:t>
      </w:r>
      <w:r>
        <w:rPr>
          <w:b/>
          <w:bCs/>
          <w:i w:val="0"/>
          <w:iCs w:val="0"/>
          <w:color w:val="000000" w:themeColor="text1"/>
          <w:sz w:val="20"/>
          <w:szCs w:val="20"/>
        </w:rPr>
        <w:fldChar w:fldCharType="end"/>
      </w:r>
      <w:r>
        <w:rPr>
          <w:b/>
          <w:bCs/>
          <w:i w:val="0"/>
          <w:iCs w:val="0"/>
          <w:color w:val="000000" w:themeColor="text1"/>
          <w:sz w:val="20"/>
          <w:szCs w:val="20"/>
        </w:rPr>
        <w:tab/>
        <w:t>Rasio Jenis Kelamin menurut Kelompok Umur,  Tahun 20</w:t>
      </w:r>
      <w:r>
        <w:rPr>
          <w:b/>
          <w:bCs/>
          <w:i w:val="0"/>
          <w:iCs w:val="0"/>
          <w:color w:val="000000" w:themeColor="text1"/>
          <w:sz w:val="20"/>
          <w:szCs w:val="20"/>
          <w:lang w:val="en-ID"/>
        </w:rPr>
        <w:t>21</w:t>
      </w:r>
      <w:bookmarkEnd w:id="43"/>
    </w:p>
    <w:tbl>
      <w:tblPr>
        <w:tblStyle w:val="PlainTable2"/>
        <w:tblpPr w:leftFromText="180" w:rightFromText="180" w:vertAnchor="text" w:horzAnchor="margin" w:tblpXSpec="center" w:tblpY="204"/>
        <w:tblW w:w="5670" w:type="dxa"/>
        <w:tblLayout w:type="fixed"/>
        <w:tblLook w:val="0000" w:firstRow="0" w:lastRow="0" w:firstColumn="0" w:lastColumn="0" w:noHBand="0" w:noVBand="0"/>
      </w:tblPr>
      <w:tblGrid>
        <w:gridCol w:w="2457"/>
        <w:gridCol w:w="3213"/>
      </w:tblGrid>
      <w:tr>
        <w:trPr>
          <w:cnfStyle w:val="000000100000" w:firstRow="0" w:lastRow="0" w:firstColumn="0" w:lastColumn="0" w:oddVBand="0" w:evenVBand="0" w:oddHBand="1" w:evenHBand="0" w:firstRowFirstColumn="0" w:firstRowLastColumn="0" w:lastRowFirstColumn="0" w:lastRowLastColumn="0"/>
          <w:trHeight w:val="402"/>
        </w:trPr>
        <w:tc>
          <w:tcPr>
            <w:cnfStyle w:val="000010000000" w:firstRow="0" w:lastRow="0" w:firstColumn="0" w:lastColumn="0" w:oddVBand="1" w:evenVBand="0" w:oddHBand="0" w:evenHBand="0" w:firstRowFirstColumn="0" w:firstRowLastColumn="0" w:lastRowFirstColumn="0" w:lastRowLastColumn="0"/>
            <w:tcW w:w="2457" w:type="dxa"/>
            <w:shd w:val="clear" w:color="auto" w:fill="403152" w:themeFill="accent4" w:themeFillShade="80"/>
            <w:vAlign w:val="center"/>
          </w:tcPr>
          <w:p>
            <w:pPr>
              <w:pStyle w:val="BodyText"/>
              <w:spacing w:after="0" w:line="240" w:lineRule="auto"/>
              <w:ind w:left="284" w:hanging="284"/>
              <w:jc w:val="center"/>
              <w:rPr>
                <w:rFonts w:asciiTheme="minorHAnsi" w:hAnsiTheme="minorHAnsi"/>
                <w:color w:val="FFFFFF" w:themeColor="background1"/>
                <w:sz w:val="18"/>
                <w:szCs w:val="18"/>
              </w:rPr>
            </w:pPr>
            <w:r>
              <w:rPr>
                <w:rFonts w:asciiTheme="minorHAnsi" w:hAnsiTheme="minorHAnsi"/>
                <w:color w:val="FFFFFF" w:themeColor="background1"/>
                <w:sz w:val="18"/>
                <w:szCs w:val="18"/>
              </w:rPr>
              <w:t>Kelompok Umur</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403152" w:themeFill="accent4" w:themeFillShade="80"/>
            <w:vAlign w:val="center"/>
          </w:tcPr>
          <w:p>
            <w:pPr>
              <w:pStyle w:val="BodyText"/>
              <w:spacing w:after="0" w:line="240" w:lineRule="auto"/>
              <w:jc w:val="center"/>
              <w:rPr>
                <w:rFonts w:asciiTheme="minorHAnsi" w:hAnsiTheme="minorHAnsi"/>
                <w:color w:val="FFFFFF" w:themeColor="background1"/>
                <w:sz w:val="18"/>
                <w:szCs w:val="18"/>
                <w:lang w:val="en-ID"/>
              </w:rPr>
            </w:pPr>
            <w:r>
              <w:rPr>
                <w:rFonts w:asciiTheme="minorHAnsi" w:hAnsiTheme="minorHAnsi"/>
                <w:color w:val="FFFFFF" w:themeColor="background1"/>
                <w:sz w:val="18"/>
                <w:szCs w:val="18"/>
              </w:rPr>
              <w:t>20</w:t>
            </w:r>
            <w:r>
              <w:rPr>
                <w:rFonts w:asciiTheme="minorHAnsi" w:hAnsiTheme="minorHAnsi"/>
                <w:color w:val="FFFFFF" w:themeColor="background1"/>
                <w:sz w:val="18"/>
                <w:szCs w:val="18"/>
                <w:lang w:val="en-ID"/>
              </w:rPr>
              <w:t>21</w:t>
            </w:r>
          </w:p>
        </w:tc>
      </w:tr>
      <w:tr>
        <w:trPr>
          <w:trHeight w:val="230"/>
        </w:trPr>
        <w:tc>
          <w:tcPr>
            <w:cnfStyle w:val="000010000000" w:firstRow="0" w:lastRow="0" w:firstColumn="0" w:lastColumn="0" w:oddVBand="1" w:evenVBand="0" w:oddHBand="0" w:evenHBand="0" w:firstRowFirstColumn="0" w:firstRowLastColumn="0" w:lastRowFirstColumn="0" w:lastRowLastColumn="0"/>
            <w:tcW w:w="2457" w:type="dxa"/>
            <w:shd w:val="clear" w:color="auto" w:fill="403152" w:themeFill="accent4" w:themeFillShade="80"/>
            <w:vAlign w:val="center"/>
          </w:tcPr>
          <w:p>
            <w:pPr>
              <w:pStyle w:val="BodyText"/>
              <w:spacing w:after="0" w:line="240" w:lineRule="auto"/>
              <w:jc w:val="center"/>
              <w:rPr>
                <w:rFonts w:asciiTheme="minorHAnsi" w:hAnsiTheme="minorHAnsi"/>
                <w:color w:val="FFFFFF" w:themeColor="background1"/>
                <w:sz w:val="18"/>
                <w:szCs w:val="18"/>
              </w:rPr>
            </w:pPr>
            <w:r>
              <w:rPr>
                <w:rFonts w:asciiTheme="minorHAnsi" w:hAnsiTheme="minorHAnsi"/>
                <w:color w:val="FFFFFF" w:themeColor="background1"/>
                <w:sz w:val="18"/>
                <w:szCs w:val="18"/>
              </w:rPr>
              <w:t>(1)</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403152" w:themeFill="accent4" w:themeFillShade="80"/>
            <w:vAlign w:val="center"/>
          </w:tcPr>
          <w:p>
            <w:pPr>
              <w:pStyle w:val="BodyText"/>
              <w:spacing w:after="0" w:line="240" w:lineRule="auto"/>
              <w:jc w:val="center"/>
              <w:rPr>
                <w:rFonts w:asciiTheme="minorHAnsi" w:hAnsiTheme="minorHAnsi"/>
                <w:color w:val="FFFFFF" w:themeColor="background1"/>
                <w:sz w:val="18"/>
                <w:szCs w:val="18"/>
              </w:rPr>
            </w:pPr>
            <w:r>
              <w:rPr>
                <w:rFonts w:asciiTheme="minorHAnsi" w:hAnsiTheme="minorHAnsi"/>
                <w:color w:val="FFFFFF" w:themeColor="background1"/>
                <w:sz w:val="18"/>
                <w:szCs w:val="18"/>
              </w:rPr>
              <w:t>(2)</w:t>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napToGrid w:val="0"/>
                <w:color w:val="000000"/>
                <w:sz w:val="18"/>
                <w:szCs w:val="18"/>
              </w:rPr>
            </w:pPr>
            <w:r>
              <w:rPr>
                <w:snapToGrid w:val="0"/>
                <w:color w:val="000000"/>
                <w:sz w:val="18"/>
                <w:szCs w:val="18"/>
              </w:rPr>
              <w:t>0 – 4</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105</w:t>
            </w:r>
          </w:p>
        </w:tc>
      </w:tr>
      <w:tr>
        <w:trPr>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AF1DD" w:themeFill="accent3" w:themeFillTint="33"/>
            <w:vAlign w:val="center"/>
          </w:tcPr>
          <w:p>
            <w:pPr>
              <w:jc w:val="both"/>
              <w:rPr>
                <w:snapToGrid w:val="0"/>
                <w:color w:val="000000"/>
                <w:sz w:val="18"/>
                <w:szCs w:val="18"/>
              </w:rPr>
            </w:pPr>
            <w:r>
              <w:rPr>
                <w:snapToGrid w:val="0"/>
                <w:color w:val="000000"/>
                <w:sz w:val="18"/>
                <w:szCs w:val="18"/>
              </w:rPr>
              <w:t>5 – 9</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AF1DD" w:themeFill="accent3" w:themeFillTint="33"/>
            <w:vAlign w:val="center"/>
          </w:tcPr>
          <w:p>
            <w:pPr>
              <w:jc w:val="both"/>
              <w:rPr>
                <w:snapToGrid w:val="0"/>
                <w:sz w:val="18"/>
                <w:szCs w:val="18"/>
              </w:rPr>
            </w:pPr>
            <w:r>
              <w:rPr>
                <w:rFonts w:ascii="Calibri" w:hAnsi="Calibri" w:cs="Calibri"/>
                <w:color w:val="000000"/>
                <w:sz w:val="18"/>
                <w:szCs w:val="18"/>
              </w:rPr>
              <w:t>105</w:t>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napToGrid w:val="0"/>
                <w:color w:val="000000"/>
                <w:sz w:val="18"/>
                <w:szCs w:val="18"/>
              </w:rPr>
            </w:pPr>
            <w:r>
              <w:rPr>
                <w:snapToGrid w:val="0"/>
                <w:color w:val="000000"/>
                <w:sz w:val="18"/>
                <w:szCs w:val="18"/>
              </w:rPr>
              <w:t>10 – 14</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107</w:t>
            </w:r>
          </w:p>
        </w:tc>
      </w:tr>
      <w:tr>
        <w:trPr>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AF1DD" w:themeFill="accent3" w:themeFillTint="33"/>
            <w:vAlign w:val="center"/>
          </w:tcPr>
          <w:p>
            <w:pPr>
              <w:jc w:val="both"/>
              <w:rPr>
                <w:snapToGrid w:val="0"/>
                <w:color w:val="000000"/>
                <w:sz w:val="18"/>
                <w:szCs w:val="18"/>
              </w:rPr>
            </w:pPr>
            <w:r>
              <w:rPr>
                <w:snapToGrid w:val="0"/>
                <w:color w:val="000000"/>
                <w:sz w:val="18"/>
                <w:szCs w:val="18"/>
              </w:rPr>
              <w:t>15 – 19</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AF1DD" w:themeFill="accent3" w:themeFillTint="33"/>
            <w:vAlign w:val="center"/>
          </w:tcPr>
          <w:p>
            <w:pPr>
              <w:jc w:val="both"/>
              <w:rPr>
                <w:snapToGrid w:val="0"/>
                <w:sz w:val="18"/>
                <w:szCs w:val="18"/>
              </w:rPr>
            </w:pPr>
            <w:r>
              <w:rPr>
                <w:rFonts w:ascii="Calibri" w:hAnsi="Calibri" w:cs="Calibri"/>
                <w:color w:val="000000"/>
                <w:sz w:val="18"/>
                <w:szCs w:val="18"/>
              </w:rPr>
              <w:t>107</w:t>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napToGrid w:val="0"/>
                <w:color w:val="000000"/>
                <w:sz w:val="18"/>
                <w:szCs w:val="18"/>
              </w:rPr>
            </w:pPr>
            <w:r>
              <w:rPr>
                <w:snapToGrid w:val="0"/>
                <w:color w:val="000000"/>
                <w:sz w:val="18"/>
                <w:szCs w:val="18"/>
              </w:rPr>
              <w:t>20 – 24</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106</w:t>
            </w:r>
          </w:p>
        </w:tc>
      </w:tr>
      <w:tr>
        <w:trPr>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AF1DD" w:themeFill="accent3" w:themeFillTint="33"/>
            <w:vAlign w:val="center"/>
          </w:tcPr>
          <w:p>
            <w:pPr>
              <w:jc w:val="both"/>
              <w:rPr>
                <w:snapToGrid w:val="0"/>
                <w:color w:val="000000"/>
                <w:sz w:val="18"/>
                <w:szCs w:val="18"/>
              </w:rPr>
            </w:pPr>
            <w:r>
              <w:rPr>
                <w:snapToGrid w:val="0"/>
                <w:color w:val="000000"/>
                <w:sz w:val="18"/>
                <w:szCs w:val="18"/>
              </w:rPr>
              <w:t>25 – 29</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AF1DD" w:themeFill="accent3" w:themeFillTint="33"/>
            <w:vAlign w:val="center"/>
          </w:tcPr>
          <w:p>
            <w:pPr>
              <w:jc w:val="both"/>
              <w:rPr>
                <w:snapToGrid w:val="0"/>
                <w:sz w:val="18"/>
                <w:szCs w:val="18"/>
              </w:rPr>
            </w:pPr>
            <w:r>
              <w:rPr>
                <w:rFonts w:ascii="Calibri" w:hAnsi="Calibri" w:cs="Calibri"/>
                <w:color w:val="000000"/>
                <w:sz w:val="18"/>
                <w:szCs w:val="18"/>
              </w:rPr>
              <w:t>106</w:t>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napToGrid w:val="0"/>
                <w:color w:val="000000"/>
                <w:sz w:val="18"/>
                <w:szCs w:val="18"/>
              </w:rPr>
            </w:pPr>
            <w:r>
              <w:rPr>
                <w:snapToGrid w:val="0"/>
                <w:color w:val="000000"/>
                <w:sz w:val="18"/>
                <w:szCs w:val="18"/>
              </w:rPr>
              <w:t>30 – 34</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107</w:t>
            </w:r>
          </w:p>
        </w:tc>
      </w:tr>
      <w:tr>
        <w:trPr>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AF1DD" w:themeFill="accent3" w:themeFillTint="33"/>
            <w:vAlign w:val="center"/>
          </w:tcPr>
          <w:p>
            <w:pPr>
              <w:jc w:val="both"/>
              <w:rPr>
                <w:snapToGrid w:val="0"/>
                <w:color w:val="000000"/>
                <w:sz w:val="18"/>
                <w:szCs w:val="18"/>
              </w:rPr>
            </w:pPr>
            <w:r>
              <w:rPr>
                <w:snapToGrid w:val="0"/>
                <w:color w:val="000000"/>
                <w:sz w:val="18"/>
                <w:szCs w:val="18"/>
              </w:rPr>
              <w:t>35 – 39</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AF1DD" w:themeFill="accent3" w:themeFillTint="33"/>
            <w:vAlign w:val="center"/>
          </w:tcPr>
          <w:p>
            <w:pPr>
              <w:jc w:val="both"/>
              <w:rPr>
                <w:snapToGrid w:val="0"/>
                <w:sz w:val="18"/>
                <w:szCs w:val="18"/>
              </w:rPr>
            </w:pPr>
            <w:r>
              <w:rPr>
                <w:rFonts w:ascii="Calibri" w:hAnsi="Calibri" w:cs="Calibri"/>
                <w:color w:val="000000"/>
                <w:sz w:val="18"/>
                <w:szCs w:val="18"/>
              </w:rPr>
              <w:t>107</w:t>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napToGrid w:val="0"/>
                <w:color w:val="000000"/>
                <w:sz w:val="18"/>
                <w:szCs w:val="18"/>
              </w:rPr>
            </w:pPr>
            <w:r>
              <w:rPr>
                <w:snapToGrid w:val="0"/>
                <w:color w:val="000000"/>
                <w:sz w:val="18"/>
                <w:szCs w:val="18"/>
              </w:rPr>
              <w:t>40 – 44</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110</w:t>
            </w:r>
          </w:p>
        </w:tc>
      </w:tr>
      <w:tr>
        <w:trPr>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AF1DD" w:themeFill="accent3" w:themeFillTint="33"/>
            <w:vAlign w:val="center"/>
          </w:tcPr>
          <w:p>
            <w:pPr>
              <w:jc w:val="both"/>
              <w:rPr>
                <w:snapToGrid w:val="0"/>
                <w:color w:val="000000"/>
                <w:sz w:val="18"/>
                <w:szCs w:val="18"/>
              </w:rPr>
            </w:pPr>
            <w:r>
              <w:rPr>
                <w:snapToGrid w:val="0"/>
                <w:color w:val="000000"/>
                <w:sz w:val="18"/>
                <w:szCs w:val="18"/>
              </w:rPr>
              <w:t>45 – 49</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AF1DD" w:themeFill="accent3" w:themeFillTint="33"/>
            <w:vAlign w:val="center"/>
          </w:tcPr>
          <w:p>
            <w:pPr>
              <w:jc w:val="both"/>
              <w:rPr>
                <w:snapToGrid w:val="0"/>
                <w:sz w:val="18"/>
                <w:szCs w:val="18"/>
              </w:rPr>
            </w:pPr>
            <w:r>
              <w:rPr>
                <w:rFonts w:ascii="Calibri" w:hAnsi="Calibri" w:cs="Calibri"/>
                <w:color w:val="000000"/>
                <w:sz w:val="18"/>
                <w:szCs w:val="18"/>
              </w:rPr>
              <w:t>111</w:t>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napToGrid w:val="0"/>
                <w:color w:val="000000"/>
                <w:sz w:val="18"/>
                <w:szCs w:val="18"/>
              </w:rPr>
            </w:pPr>
            <w:r>
              <w:rPr>
                <w:snapToGrid w:val="0"/>
                <w:color w:val="000000"/>
                <w:sz w:val="18"/>
                <w:szCs w:val="18"/>
              </w:rPr>
              <w:t>50 – 54</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113</w:t>
            </w:r>
          </w:p>
        </w:tc>
      </w:tr>
      <w:tr>
        <w:trPr>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AF1DD" w:themeFill="accent3" w:themeFillTint="33"/>
            <w:vAlign w:val="center"/>
          </w:tcPr>
          <w:p>
            <w:pPr>
              <w:jc w:val="both"/>
              <w:rPr>
                <w:snapToGrid w:val="0"/>
                <w:color w:val="000000"/>
                <w:sz w:val="18"/>
                <w:szCs w:val="18"/>
              </w:rPr>
            </w:pPr>
            <w:r>
              <w:rPr>
                <w:snapToGrid w:val="0"/>
                <w:color w:val="000000"/>
                <w:sz w:val="18"/>
                <w:szCs w:val="18"/>
              </w:rPr>
              <w:t>55 – 59</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AF1DD" w:themeFill="accent3" w:themeFillTint="33"/>
            <w:vAlign w:val="center"/>
          </w:tcPr>
          <w:p>
            <w:pPr>
              <w:jc w:val="both"/>
              <w:rPr>
                <w:snapToGrid w:val="0"/>
                <w:sz w:val="18"/>
                <w:szCs w:val="18"/>
              </w:rPr>
            </w:pPr>
            <w:r>
              <w:rPr>
                <w:rFonts w:ascii="Calibri" w:hAnsi="Calibri" w:cs="Calibri"/>
                <w:color w:val="000000"/>
                <w:sz w:val="18"/>
                <w:szCs w:val="18"/>
              </w:rPr>
              <w:t>114</w:t>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napToGrid w:val="0"/>
                <w:color w:val="000000"/>
                <w:sz w:val="18"/>
                <w:szCs w:val="18"/>
              </w:rPr>
            </w:pPr>
            <w:r>
              <w:rPr>
                <w:snapToGrid w:val="0"/>
                <w:color w:val="000000"/>
                <w:sz w:val="18"/>
                <w:szCs w:val="18"/>
              </w:rPr>
              <w:t>60 – 64</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114</w:t>
            </w:r>
          </w:p>
        </w:tc>
      </w:tr>
      <w:tr>
        <w:trPr>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AF1DD" w:themeFill="accent3" w:themeFillTint="33"/>
            <w:vAlign w:val="center"/>
          </w:tcPr>
          <w:p>
            <w:pPr>
              <w:jc w:val="both"/>
              <w:rPr>
                <w:snapToGrid w:val="0"/>
                <w:color w:val="000000"/>
                <w:sz w:val="18"/>
                <w:szCs w:val="18"/>
              </w:rPr>
            </w:pPr>
            <w:r>
              <w:rPr>
                <w:snapToGrid w:val="0"/>
                <w:color w:val="000000"/>
                <w:sz w:val="18"/>
                <w:szCs w:val="18"/>
              </w:rPr>
              <w:t>65 – 69</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AF1DD" w:themeFill="accent3" w:themeFillTint="33"/>
            <w:vAlign w:val="center"/>
          </w:tcPr>
          <w:p>
            <w:pPr>
              <w:jc w:val="both"/>
              <w:rPr>
                <w:snapToGrid w:val="0"/>
                <w:sz w:val="18"/>
                <w:szCs w:val="18"/>
              </w:rPr>
            </w:pPr>
            <w:r>
              <w:rPr>
                <w:rFonts w:ascii="Calibri" w:hAnsi="Calibri" w:cs="Calibri"/>
                <w:color w:val="000000"/>
                <w:sz w:val="18"/>
                <w:szCs w:val="18"/>
              </w:rPr>
              <w:t>112</w:t>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napToGrid w:val="0"/>
                <w:color w:val="000000"/>
                <w:sz w:val="18"/>
                <w:szCs w:val="18"/>
              </w:rPr>
            </w:pPr>
            <w:r>
              <w:rPr>
                <w:snapToGrid w:val="0"/>
                <w:color w:val="000000"/>
                <w:sz w:val="18"/>
                <w:szCs w:val="18"/>
              </w:rPr>
              <w:t>70 – 74</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108</w:t>
            </w:r>
          </w:p>
        </w:tc>
      </w:tr>
      <w:tr>
        <w:trPr>
          <w:trHeight w:val="316"/>
        </w:trPr>
        <w:tc>
          <w:tcPr>
            <w:cnfStyle w:val="000010000000" w:firstRow="0" w:lastRow="0" w:firstColumn="0" w:lastColumn="0" w:oddVBand="1" w:evenVBand="0" w:oddHBand="0" w:evenHBand="0" w:firstRowFirstColumn="0" w:firstRowLastColumn="0" w:lastRowFirstColumn="0" w:lastRowLastColumn="0"/>
            <w:tcW w:w="2457" w:type="dxa"/>
            <w:shd w:val="clear" w:color="auto" w:fill="EAF1DD" w:themeFill="accent3" w:themeFillTint="33"/>
            <w:vAlign w:val="center"/>
          </w:tcPr>
          <w:p>
            <w:pPr>
              <w:jc w:val="both"/>
              <w:rPr>
                <w:snapToGrid w:val="0"/>
                <w:color w:val="000000"/>
                <w:sz w:val="18"/>
                <w:szCs w:val="18"/>
              </w:rPr>
            </w:pPr>
            <w:r>
              <w:rPr>
                <w:snapToGrid w:val="0"/>
                <w:color w:val="000000"/>
                <w:sz w:val="18"/>
                <w:szCs w:val="18"/>
              </w:rPr>
              <w:t>75+</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AF1DD" w:themeFill="accent3" w:themeFillTint="33"/>
            <w:vAlign w:val="center"/>
          </w:tcPr>
          <w:p>
            <w:pPr>
              <w:jc w:val="both"/>
              <w:rPr>
                <w:snapToGrid w:val="0"/>
                <w:sz w:val="18"/>
                <w:szCs w:val="18"/>
              </w:rPr>
            </w:pPr>
            <w:r>
              <w:rPr>
                <w:rFonts w:ascii="Calibri" w:hAnsi="Calibri" w:cs="Calibri"/>
                <w:color w:val="000000"/>
                <w:sz w:val="18"/>
                <w:szCs w:val="18"/>
              </w:rPr>
              <w:t>96</w:t>
            </w:r>
          </w:p>
        </w:tc>
      </w:tr>
      <w:tr>
        <w:trPr>
          <w:cnfStyle w:val="000000100000" w:firstRow="0" w:lastRow="0" w:firstColumn="0" w:lastColumn="0" w:oddVBand="0" w:evenVBand="0" w:oddHBand="1" w:evenHBand="0" w:firstRowFirstColumn="0" w:firstRowLastColumn="0" w:lastRowFirstColumn="0" w:lastRowLastColumn="0"/>
          <w:trHeight w:val="348"/>
        </w:trPr>
        <w:tc>
          <w:tcPr>
            <w:cnfStyle w:val="000010000000" w:firstRow="0" w:lastRow="0" w:firstColumn="0" w:lastColumn="0" w:oddVBand="1" w:evenVBand="0" w:oddHBand="0" w:evenHBand="0" w:firstRowFirstColumn="0" w:firstRowLastColumn="0" w:lastRowFirstColumn="0" w:lastRowLastColumn="0"/>
            <w:tcW w:w="2457" w:type="dxa"/>
            <w:shd w:val="clear" w:color="auto" w:fill="E5DFEC" w:themeFill="accent4" w:themeFillTint="33"/>
            <w:vAlign w:val="center"/>
          </w:tcPr>
          <w:p>
            <w:pPr>
              <w:jc w:val="both"/>
              <w:rPr>
                <w:sz w:val="18"/>
                <w:szCs w:val="18"/>
              </w:rPr>
            </w:pPr>
            <w:r>
              <w:rPr>
                <w:sz w:val="18"/>
                <w:szCs w:val="18"/>
              </w:rPr>
              <w:t>Jumlah</w:t>
            </w:r>
          </w:p>
        </w:tc>
        <w:tc>
          <w:tcPr>
            <w:cnfStyle w:val="000001000000" w:firstRow="0" w:lastRow="0" w:firstColumn="0" w:lastColumn="0" w:oddVBand="0" w:evenVBand="1" w:oddHBand="0" w:evenHBand="0" w:firstRowFirstColumn="0" w:firstRowLastColumn="0" w:lastRowFirstColumn="0" w:lastRowLastColumn="0"/>
            <w:tcW w:w="3213" w:type="dxa"/>
            <w:shd w:val="clear" w:color="auto" w:fill="E5DFEC" w:themeFill="accent4" w:themeFillTint="33"/>
            <w:vAlign w:val="center"/>
          </w:tcPr>
          <w:p>
            <w:pPr>
              <w:jc w:val="both"/>
              <w:rPr>
                <w:snapToGrid w:val="0"/>
                <w:sz w:val="18"/>
                <w:szCs w:val="18"/>
              </w:rPr>
            </w:pPr>
            <w:r>
              <w:rPr>
                <w:rFonts w:ascii="Calibri" w:hAnsi="Calibri" w:cs="Calibri"/>
                <w:color w:val="000000"/>
                <w:sz w:val="18"/>
                <w:szCs w:val="18"/>
              </w:rPr>
              <w:t>108</w:t>
            </w:r>
          </w:p>
        </w:tc>
      </w:tr>
    </w:tbl>
    <w:p>
      <w:pPr>
        <w:ind w:left="284"/>
        <w:jc w:val="both"/>
        <w:rPr>
          <w:lang w:val="en-US"/>
        </w:rPr>
      </w:pPr>
      <w:r>
        <w:rPr>
          <w:i/>
          <w:iCs/>
          <w:sz w:val="20"/>
          <w:szCs w:val="18"/>
        </w:rPr>
        <w:t xml:space="preserve"> Sumber : Proyeksi Interim hasil Sensus Penduduk 2020</w:t>
      </w:r>
    </w:p>
    <w:p>
      <w:pPr>
        <w:pStyle w:val="BodyText"/>
        <w:spacing w:after="0" w:line="360" w:lineRule="auto"/>
        <w:ind w:left="284" w:firstLine="567"/>
        <w:jc w:val="both"/>
        <w:rPr>
          <w:rFonts w:asciiTheme="minorHAnsi" w:hAnsiTheme="minorHAnsi"/>
        </w:rPr>
      </w:pPr>
      <w:r>
        <w:rPr>
          <w:rFonts w:asciiTheme="minorHAnsi" w:hAnsiTheme="minorHAnsi"/>
        </w:rPr>
        <w:t xml:space="preserve">Hasil proyeksi interim Sensus Penduduk 2020 menunjukan bila dilihat kelompok umur, hampir semua kelompok umur memiliki rasio jenis kalamin diatas 100, kecuali pada kelompok umur tua (75 tahun ke atas). Selama kurun waktu 2000 - 2015 pada hampir kelompok umur ada kecenderungan sedikit naik. Hal ini menggambarkan adanya peningkatan pertumbuhan </w:t>
      </w:r>
      <w:r>
        <w:rPr>
          <w:rFonts w:asciiTheme="minorHAnsi" w:hAnsiTheme="minorHAnsi"/>
        </w:rPr>
        <w:lastRenderedPageBreak/>
        <w:t>jumlah penduduk laki-laki. Mereka umumnya datang dari Pulau Jawa sebagai migran dan merupakan tenaga kerja musiman pada perkebunan kelapa sawit, proyek-proyek bangunan dan pertambangan serta lainnya. Sebaliknya pada kelompok penduduk usia tua terjadi penurunan, kondisi seperti ini disebabkan adanya peningkatan rata-rata usia harapan hidup (</w:t>
      </w:r>
      <w:r>
        <w:rPr>
          <w:rFonts w:asciiTheme="minorHAnsi" w:hAnsiTheme="minorHAnsi"/>
          <w:i/>
        </w:rPr>
        <w:t>life expectancy</w:t>
      </w:r>
      <w:r>
        <w:rPr>
          <w:rFonts w:asciiTheme="minorHAnsi" w:hAnsiTheme="minorHAnsi"/>
        </w:rPr>
        <w:t>) pada penduduk perempuan.</w:t>
      </w:r>
    </w:p>
    <w:p>
      <w:pPr>
        <w:pStyle w:val="Caption"/>
        <w:spacing w:before="240" w:after="0" w:line="276" w:lineRule="auto"/>
        <w:ind w:left="1418" w:hanging="1134"/>
        <w:jc w:val="both"/>
        <w:rPr>
          <w:b/>
          <w:bCs/>
          <w:i w:val="0"/>
          <w:iCs w:val="0"/>
          <w:color w:val="000000" w:themeColor="text1"/>
          <w:sz w:val="20"/>
          <w:szCs w:val="20"/>
          <w:lang w:val="en-ID"/>
        </w:rPr>
      </w:pPr>
      <w:bookmarkStart w:id="44" w:name="_Toc117455868"/>
      <w:r>
        <w:rPr>
          <w:b/>
          <w:bCs/>
          <w:i w:val="0"/>
          <w:iCs w:val="0"/>
          <w:color w:val="000000" w:themeColor="text1"/>
          <w:sz w:val="20"/>
          <w:szCs w:val="20"/>
        </w:rPr>
        <w:t xml:space="preserve">Tabel 3. </w:t>
      </w:r>
      <w:r>
        <w:rPr>
          <w:b/>
          <w:bCs/>
          <w:i w:val="0"/>
          <w:iCs w:val="0"/>
          <w:color w:val="000000" w:themeColor="text1"/>
          <w:sz w:val="20"/>
          <w:szCs w:val="20"/>
        </w:rPr>
        <w:fldChar w:fldCharType="begin"/>
      </w:r>
      <w:r>
        <w:rPr>
          <w:b/>
          <w:bCs/>
          <w:i w:val="0"/>
          <w:iCs w:val="0"/>
          <w:color w:val="000000" w:themeColor="text1"/>
          <w:sz w:val="20"/>
          <w:szCs w:val="20"/>
        </w:rPr>
        <w:instrText xml:space="preserve"> SEQ Tabel_3. \* ARABIC </w:instrText>
      </w:r>
      <w:r>
        <w:rPr>
          <w:b/>
          <w:bCs/>
          <w:i w:val="0"/>
          <w:iCs w:val="0"/>
          <w:color w:val="000000" w:themeColor="text1"/>
          <w:sz w:val="20"/>
          <w:szCs w:val="20"/>
        </w:rPr>
        <w:fldChar w:fldCharType="separate"/>
      </w:r>
      <w:r>
        <w:rPr>
          <w:b/>
          <w:bCs/>
          <w:i w:val="0"/>
          <w:iCs w:val="0"/>
          <w:noProof/>
          <w:color w:val="000000" w:themeColor="text1"/>
          <w:sz w:val="20"/>
          <w:szCs w:val="20"/>
        </w:rPr>
        <w:t>3</w:t>
      </w:r>
      <w:r>
        <w:rPr>
          <w:b/>
          <w:bCs/>
          <w:i w:val="0"/>
          <w:iCs w:val="0"/>
          <w:color w:val="000000" w:themeColor="text1"/>
          <w:sz w:val="20"/>
          <w:szCs w:val="20"/>
        </w:rPr>
        <w:fldChar w:fldCharType="end"/>
      </w:r>
      <w:r>
        <w:rPr>
          <w:b/>
          <w:bCs/>
          <w:i w:val="0"/>
          <w:iCs w:val="0"/>
          <w:color w:val="000000" w:themeColor="text1"/>
          <w:sz w:val="20"/>
          <w:szCs w:val="20"/>
        </w:rPr>
        <w:tab/>
        <w:t>Rasio Jenis Kelamin menurut Kabupaten/Kota, 2</w:t>
      </w:r>
      <w:r>
        <w:rPr>
          <w:b/>
          <w:bCs/>
          <w:i w:val="0"/>
          <w:iCs w:val="0"/>
          <w:color w:val="000000" w:themeColor="text1"/>
          <w:sz w:val="20"/>
          <w:szCs w:val="20"/>
          <w:lang w:val="en-ID"/>
        </w:rPr>
        <w:t>021</w:t>
      </w:r>
      <w:bookmarkEnd w:id="44"/>
    </w:p>
    <w:tbl>
      <w:tblPr>
        <w:tblStyle w:val="TableGrid"/>
        <w:tblpPr w:leftFromText="180" w:rightFromText="180" w:vertAnchor="text" w:tblpXSpec="center" w:tblpY="1"/>
        <w:tblW w:w="5353" w:type="dxa"/>
        <w:tblLook w:val="04A0" w:firstRow="1" w:lastRow="0" w:firstColumn="1" w:lastColumn="0" w:noHBand="0" w:noVBand="1"/>
      </w:tblPr>
      <w:tblGrid>
        <w:gridCol w:w="2794"/>
        <w:gridCol w:w="2559"/>
      </w:tblGrid>
      <w:tr>
        <w:trPr>
          <w:trHeight w:val="244"/>
        </w:trPr>
        <w:tc>
          <w:tcPr>
            <w:tcW w:w="2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ind w:left="284"/>
              <w:jc w:val="center"/>
              <w:rPr>
                <w:bCs/>
                <w:sz w:val="18"/>
                <w:szCs w:val="18"/>
              </w:rPr>
            </w:pPr>
            <w:r>
              <w:rPr>
                <w:bCs/>
                <w:sz w:val="18"/>
                <w:szCs w:val="18"/>
              </w:rPr>
              <w:t>Kabupaten/Kota</w:t>
            </w:r>
          </w:p>
        </w:tc>
        <w:tc>
          <w:tcPr>
            <w:tcW w:w="2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sz w:val="18"/>
                <w:szCs w:val="18"/>
                <w:lang w:val="en-US"/>
              </w:rPr>
            </w:pPr>
            <w:r>
              <w:rPr>
                <w:bCs/>
                <w:sz w:val="18"/>
                <w:szCs w:val="18"/>
              </w:rPr>
              <w:t>Sex Ratio</w:t>
            </w:r>
            <w:r>
              <w:rPr>
                <w:bCs/>
                <w:sz w:val="18"/>
                <w:szCs w:val="18"/>
                <w:lang w:val="en-US"/>
              </w:rPr>
              <w:t xml:space="preserve"> 2021</w:t>
            </w:r>
          </w:p>
        </w:tc>
      </w:tr>
      <w:tr>
        <w:trPr>
          <w:trHeight w:val="62"/>
        </w:trPr>
        <w:tc>
          <w:tcPr>
            <w:tcW w:w="2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sz w:val="18"/>
                <w:szCs w:val="18"/>
              </w:rPr>
            </w:pPr>
            <w:r>
              <w:rPr>
                <w:bCs/>
                <w:sz w:val="18"/>
                <w:szCs w:val="18"/>
              </w:rPr>
              <w:t>(1)</w:t>
            </w:r>
          </w:p>
        </w:tc>
        <w:tc>
          <w:tcPr>
            <w:tcW w:w="2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tcPr>
          <w:p>
            <w:pPr>
              <w:jc w:val="center"/>
              <w:rPr>
                <w:rFonts w:cs="Arial"/>
                <w:bCs/>
                <w:sz w:val="18"/>
                <w:szCs w:val="18"/>
              </w:rPr>
            </w:pPr>
            <w:r>
              <w:rPr>
                <w:rFonts w:cs="Arial"/>
                <w:bCs/>
                <w:sz w:val="18"/>
                <w:szCs w:val="18"/>
              </w:rPr>
              <w:t>(2)</w:t>
            </w:r>
          </w:p>
        </w:tc>
      </w:tr>
      <w:tr>
        <w:trPr>
          <w:trHeight w:val="311"/>
        </w:trPr>
        <w:tc>
          <w:tcPr>
            <w:tcW w:w="2794" w:type="dxa"/>
            <w:tcBorders>
              <w:top w:val="single" w:sz="4" w:space="0" w:color="FFFFFF" w:themeColor="background1"/>
            </w:tcBorders>
            <w:shd w:val="clear" w:color="auto" w:fill="E5DFEC" w:themeFill="accent4" w:themeFillTint="33"/>
            <w:vAlign w:val="center"/>
            <w:hideMark/>
          </w:tcPr>
          <w:p>
            <w:pPr>
              <w:spacing w:line="168" w:lineRule="auto"/>
              <w:jc w:val="both"/>
              <w:textAlignment w:val="bottom"/>
              <w:rPr>
                <w:sz w:val="18"/>
                <w:szCs w:val="18"/>
                <w:lang w:eastAsia="id-ID"/>
              </w:rPr>
            </w:pPr>
            <w:r>
              <w:rPr>
                <w:bCs/>
                <w:kern w:val="24"/>
                <w:sz w:val="18"/>
                <w:szCs w:val="18"/>
                <w:lang w:eastAsia="id-ID"/>
              </w:rPr>
              <w:t>Kotawaringin Barat</w:t>
            </w:r>
          </w:p>
        </w:tc>
        <w:tc>
          <w:tcPr>
            <w:tcW w:w="2559" w:type="dxa"/>
            <w:tcBorders>
              <w:top w:val="single" w:sz="4" w:space="0" w:color="FFFFFF" w:themeColor="background1"/>
            </w:tcBorders>
            <w:shd w:val="clear" w:color="auto" w:fill="E5DFEC" w:themeFill="accent4"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108</w:t>
            </w:r>
          </w:p>
        </w:tc>
      </w:tr>
      <w:tr>
        <w:trPr>
          <w:trHeight w:val="255"/>
        </w:trPr>
        <w:tc>
          <w:tcPr>
            <w:tcW w:w="2794" w:type="dxa"/>
            <w:shd w:val="clear" w:color="auto" w:fill="EAF1DD" w:themeFill="accent3" w:themeFillTint="33"/>
            <w:vAlign w:val="center"/>
            <w:hideMark/>
          </w:tcPr>
          <w:p>
            <w:pPr>
              <w:spacing w:line="168" w:lineRule="auto"/>
              <w:jc w:val="both"/>
              <w:textAlignment w:val="bottom"/>
              <w:rPr>
                <w:sz w:val="18"/>
                <w:szCs w:val="18"/>
                <w:lang w:eastAsia="id-ID"/>
              </w:rPr>
            </w:pPr>
            <w:r>
              <w:rPr>
                <w:bCs/>
                <w:kern w:val="24"/>
                <w:sz w:val="18"/>
                <w:szCs w:val="18"/>
                <w:lang w:eastAsia="id-ID"/>
              </w:rPr>
              <w:t>Kotawaringin  Timur</w:t>
            </w:r>
          </w:p>
        </w:tc>
        <w:tc>
          <w:tcPr>
            <w:tcW w:w="2559" w:type="dxa"/>
            <w:shd w:val="clear" w:color="auto" w:fill="EAF1DD" w:themeFill="accent3"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108</w:t>
            </w:r>
          </w:p>
        </w:tc>
      </w:tr>
      <w:tr>
        <w:trPr>
          <w:trHeight w:val="311"/>
        </w:trPr>
        <w:tc>
          <w:tcPr>
            <w:tcW w:w="2794" w:type="dxa"/>
            <w:shd w:val="clear" w:color="auto" w:fill="E5DFEC" w:themeFill="accent4" w:themeFillTint="33"/>
            <w:vAlign w:val="center"/>
            <w:hideMark/>
          </w:tcPr>
          <w:p>
            <w:pPr>
              <w:spacing w:line="168" w:lineRule="auto"/>
              <w:jc w:val="both"/>
              <w:textAlignment w:val="bottom"/>
              <w:rPr>
                <w:sz w:val="18"/>
                <w:szCs w:val="18"/>
                <w:lang w:eastAsia="id-ID"/>
              </w:rPr>
            </w:pPr>
            <w:r>
              <w:rPr>
                <w:bCs/>
                <w:kern w:val="24"/>
                <w:sz w:val="18"/>
                <w:szCs w:val="18"/>
                <w:lang w:eastAsia="id-ID"/>
              </w:rPr>
              <w:t>Kapuas</w:t>
            </w:r>
          </w:p>
        </w:tc>
        <w:tc>
          <w:tcPr>
            <w:tcW w:w="2559" w:type="dxa"/>
            <w:shd w:val="clear" w:color="auto" w:fill="E5DFEC" w:themeFill="accent4"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107</w:t>
            </w:r>
          </w:p>
        </w:tc>
      </w:tr>
      <w:tr>
        <w:trPr>
          <w:trHeight w:val="311"/>
        </w:trPr>
        <w:tc>
          <w:tcPr>
            <w:tcW w:w="2794" w:type="dxa"/>
            <w:shd w:val="clear" w:color="auto" w:fill="EAF1DD" w:themeFill="accent3" w:themeFillTint="33"/>
            <w:vAlign w:val="center"/>
            <w:hideMark/>
          </w:tcPr>
          <w:p>
            <w:pPr>
              <w:spacing w:line="168" w:lineRule="auto"/>
              <w:jc w:val="both"/>
              <w:textAlignment w:val="bottom"/>
              <w:rPr>
                <w:sz w:val="18"/>
                <w:szCs w:val="18"/>
                <w:lang w:eastAsia="id-ID"/>
              </w:rPr>
            </w:pPr>
            <w:r>
              <w:rPr>
                <w:bCs/>
                <w:kern w:val="24"/>
                <w:sz w:val="18"/>
                <w:szCs w:val="18"/>
                <w:lang w:eastAsia="id-ID"/>
              </w:rPr>
              <w:t>Barito Selatan</w:t>
            </w:r>
          </w:p>
        </w:tc>
        <w:tc>
          <w:tcPr>
            <w:tcW w:w="2559" w:type="dxa"/>
            <w:shd w:val="clear" w:color="auto" w:fill="EAF1DD" w:themeFill="accent3"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105</w:t>
            </w:r>
          </w:p>
        </w:tc>
      </w:tr>
      <w:tr>
        <w:trPr>
          <w:trHeight w:val="311"/>
        </w:trPr>
        <w:tc>
          <w:tcPr>
            <w:tcW w:w="2794" w:type="dxa"/>
            <w:shd w:val="clear" w:color="auto" w:fill="E5DFEC" w:themeFill="accent4" w:themeFillTint="33"/>
            <w:vAlign w:val="center"/>
            <w:hideMark/>
          </w:tcPr>
          <w:p>
            <w:pPr>
              <w:spacing w:line="168" w:lineRule="auto"/>
              <w:jc w:val="both"/>
              <w:textAlignment w:val="bottom"/>
              <w:rPr>
                <w:sz w:val="18"/>
                <w:szCs w:val="18"/>
                <w:lang w:eastAsia="id-ID"/>
              </w:rPr>
            </w:pPr>
            <w:r>
              <w:rPr>
                <w:bCs/>
                <w:kern w:val="24"/>
                <w:sz w:val="18"/>
                <w:szCs w:val="18"/>
                <w:lang w:eastAsia="id-ID"/>
              </w:rPr>
              <w:t>Barito Utara</w:t>
            </w:r>
          </w:p>
        </w:tc>
        <w:tc>
          <w:tcPr>
            <w:tcW w:w="2559" w:type="dxa"/>
            <w:shd w:val="clear" w:color="auto" w:fill="E5DFEC" w:themeFill="accent4"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108</w:t>
            </w:r>
          </w:p>
        </w:tc>
      </w:tr>
      <w:tr>
        <w:trPr>
          <w:trHeight w:val="311"/>
        </w:trPr>
        <w:tc>
          <w:tcPr>
            <w:tcW w:w="2794" w:type="dxa"/>
            <w:shd w:val="clear" w:color="auto" w:fill="EAF1DD" w:themeFill="accent3" w:themeFillTint="33"/>
            <w:vAlign w:val="center"/>
            <w:hideMark/>
          </w:tcPr>
          <w:p>
            <w:pPr>
              <w:spacing w:line="168" w:lineRule="auto"/>
              <w:jc w:val="both"/>
              <w:textAlignment w:val="bottom"/>
              <w:rPr>
                <w:sz w:val="18"/>
                <w:szCs w:val="18"/>
                <w:lang w:eastAsia="id-ID"/>
              </w:rPr>
            </w:pPr>
            <w:r>
              <w:rPr>
                <w:bCs/>
                <w:kern w:val="24"/>
                <w:sz w:val="18"/>
                <w:szCs w:val="18"/>
                <w:lang w:eastAsia="id-ID"/>
              </w:rPr>
              <w:t>Sukamara</w:t>
            </w:r>
          </w:p>
        </w:tc>
        <w:tc>
          <w:tcPr>
            <w:tcW w:w="2559" w:type="dxa"/>
            <w:shd w:val="clear" w:color="auto" w:fill="EAF1DD" w:themeFill="accent3"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111</w:t>
            </w:r>
          </w:p>
        </w:tc>
      </w:tr>
      <w:tr>
        <w:trPr>
          <w:trHeight w:val="311"/>
        </w:trPr>
        <w:tc>
          <w:tcPr>
            <w:tcW w:w="2794" w:type="dxa"/>
            <w:shd w:val="clear" w:color="auto" w:fill="E5DFEC" w:themeFill="accent4" w:themeFillTint="33"/>
            <w:vAlign w:val="center"/>
            <w:hideMark/>
          </w:tcPr>
          <w:p>
            <w:pPr>
              <w:spacing w:line="168" w:lineRule="auto"/>
              <w:jc w:val="both"/>
              <w:textAlignment w:val="bottom"/>
              <w:rPr>
                <w:sz w:val="18"/>
                <w:szCs w:val="18"/>
                <w:lang w:eastAsia="id-ID"/>
              </w:rPr>
            </w:pPr>
            <w:r>
              <w:rPr>
                <w:bCs/>
                <w:kern w:val="24"/>
                <w:sz w:val="18"/>
                <w:szCs w:val="18"/>
                <w:lang w:eastAsia="id-ID"/>
              </w:rPr>
              <w:t>Lamandau</w:t>
            </w:r>
          </w:p>
        </w:tc>
        <w:tc>
          <w:tcPr>
            <w:tcW w:w="2559" w:type="dxa"/>
            <w:shd w:val="clear" w:color="auto" w:fill="E5DFEC" w:themeFill="accent4"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115</w:t>
            </w:r>
          </w:p>
        </w:tc>
      </w:tr>
      <w:tr>
        <w:trPr>
          <w:trHeight w:val="311"/>
        </w:trPr>
        <w:tc>
          <w:tcPr>
            <w:tcW w:w="2794" w:type="dxa"/>
            <w:shd w:val="clear" w:color="auto" w:fill="EAF1DD" w:themeFill="accent3" w:themeFillTint="33"/>
            <w:vAlign w:val="center"/>
            <w:hideMark/>
          </w:tcPr>
          <w:p>
            <w:pPr>
              <w:spacing w:line="168" w:lineRule="auto"/>
              <w:jc w:val="both"/>
              <w:textAlignment w:val="bottom"/>
              <w:rPr>
                <w:sz w:val="18"/>
                <w:szCs w:val="18"/>
                <w:lang w:eastAsia="id-ID"/>
              </w:rPr>
            </w:pPr>
            <w:r>
              <w:rPr>
                <w:bCs/>
                <w:kern w:val="24"/>
                <w:sz w:val="18"/>
                <w:szCs w:val="18"/>
                <w:lang w:eastAsia="id-ID"/>
              </w:rPr>
              <w:t>Seruyan</w:t>
            </w:r>
          </w:p>
        </w:tc>
        <w:tc>
          <w:tcPr>
            <w:tcW w:w="2559" w:type="dxa"/>
            <w:shd w:val="clear" w:color="auto" w:fill="EAF1DD" w:themeFill="accent3"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112</w:t>
            </w:r>
          </w:p>
        </w:tc>
      </w:tr>
      <w:tr>
        <w:trPr>
          <w:trHeight w:val="311"/>
        </w:trPr>
        <w:tc>
          <w:tcPr>
            <w:tcW w:w="2794" w:type="dxa"/>
            <w:shd w:val="clear" w:color="auto" w:fill="E5DFEC" w:themeFill="accent4" w:themeFillTint="33"/>
            <w:vAlign w:val="center"/>
            <w:hideMark/>
          </w:tcPr>
          <w:p>
            <w:pPr>
              <w:spacing w:line="168" w:lineRule="auto"/>
              <w:jc w:val="both"/>
              <w:textAlignment w:val="bottom"/>
              <w:rPr>
                <w:sz w:val="18"/>
                <w:szCs w:val="18"/>
                <w:lang w:eastAsia="id-ID"/>
              </w:rPr>
            </w:pPr>
            <w:r>
              <w:rPr>
                <w:bCs/>
                <w:kern w:val="24"/>
                <w:sz w:val="18"/>
                <w:szCs w:val="18"/>
                <w:lang w:eastAsia="id-ID"/>
              </w:rPr>
              <w:t>Katingan</w:t>
            </w:r>
          </w:p>
        </w:tc>
        <w:tc>
          <w:tcPr>
            <w:tcW w:w="2559" w:type="dxa"/>
            <w:shd w:val="clear" w:color="auto" w:fill="E5DFEC" w:themeFill="accent4"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108</w:t>
            </w:r>
          </w:p>
        </w:tc>
      </w:tr>
      <w:tr>
        <w:trPr>
          <w:trHeight w:val="311"/>
        </w:trPr>
        <w:tc>
          <w:tcPr>
            <w:tcW w:w="2794" w:type="dxa"/>
            <w:shd w:val="clear" w:color="auto" w:fill="EAF1DD" w:themeFill="accent3" w:themeFillTint="33"/>
            <w:vAlign w:val="center"/>
            <w:hideMark/>
          </w:tcPr>
          <w:p>
            <w:pPr>
              <w:spacing w:line="168" w:lineRule="auto"/>
              <w:jc w:val="both"/>
              <w:textAlignment w:val="bottom"/>
              <w:rPr>
                <w:sz w:val="18"/>
                <w:szCs w:val="18"/>
                <w:lang w:eastAsia="id-ID"/>
              </w:rPr>
            </w:pPr>
            <w:r>
              <w:rPr>
                <w:bCs/>
                <w:kern w:val="24"/>
                <w:sz w:val="18"/>
                <w:szCs w:val="18"/>
                <w:lang w:eastAsia="id-ID"/>
              </w:rPr>
              <w:t>Pulang Pisau</w:t>
            </w:r>
          </w:p>
        </w:tc>
        <w:tc>
          <w:tcPr>
            <w:tcW w:w="2559" w:type="dxa"/>
            <w:shd w:val="clear" w:color="auto" w:fill="EAF1DD" w:themeFill="accent3"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109</w:t>
            </w:r>
          </w:p>
        </w:tc>
      </w:tr>
      <w:tr>
        <w:trPr>
          <w:trHeight w:val="311"/>
        </w:trPr>
        <w:tc>
          <w:tcPr>
            <w:tcW w:w="2794" w:type="dxa"/>
            <w:shd w:val="clear" w:color="auto" w:fill="E5DFEC" w:themeFill="accent4" w:themeFillTint="33"/>
            <w:vAlign w:val="center"/>
            <w:hideMark/>
          </w:tcPr>
          <w:p>
            <w:pPr>
              <w:spacing w:line="168" w:lineRule="auto"/>
              <w:jc w:val="both"/>
              <w:textAlignment w:val="bottom"/>
              <w:rPr>
                <w:sz w:val="18"/>
                <w:szCs w:val="18"/>
                <w:lang w:eastAsia="id-ID"/>
              </w:rPr>
            </w:pPr>
            <w:r>
              <w:rPr>
                <w:bCs/>
                <w:kern w:val="24"/>
                <w:sz w:val="18"/>
                <w:szCs w:val="18"/>
                <w:lang w:eastAsia="id-ID"/>
              </w:rPr>
              <w:t>Gunung Mas</w:t>
            </w:r>
          </w:p>
        </w:tc>
        <w:tc>
          <w:tcPr>
            <w:tcW w:w="2559" w:type="dxa"/>
            <w:shd w:val="clear" w:color="auto" w:fill="E5DFEC" w:themeFill="accent4"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111</w:t>
            </w:r>
          </w:p>
        </w:tc>
      </w:tr>
      <w:tr>
        <w:trPr>
          <w:trHeight w:val="311"/>
        </w:trPr>
        <w:tc>
          <w:tcPr>
            <w:tcW w:w="2794" w:type="dxa"/>
            <w:shd w:val="clear" w:color="auto" w:fill="EAF1DD" w:themeFill="accent3" w:themeFillTint="33"/>
            <w:vAlign w:val="center"/>
            <w:hideMark/>
          </w:tcPr>
          <w:p>
            <w:pPr>
              <w:spacing w:line="168" w:lineRule="auto"/>
              <w:jc w:val="both"/>
              <w:textAlignment w:val="bottom"/>
              <w:rPr>
                <w:sz w:val="18"/>
                <w:szCs w:val="18"/>
                <w:lang w:eastAsia="id-ID"/>
              </w:rPr>
            </w:pPr>
            <w:r>
              <w:rPr>
                <w:bCs/>
                <w:kern w:val="24"/>
                <w:sz w:val="18"/>
                <w:szCs w:val="18"/>
                <w:lang w:eastAsia="id-ID"/>
              </w:rPr>
              <w:t>Barito Timur</w:t>
            </w:r>
          </w:p>
        </w:tc>
        <w:tc>
          <w:tcPr>
            <w:tcW w:w="2559" w:type="dxa"/>
            <w:shd w:val="clear" w:color="auto" w:fill="EAF1DD" w:themeFill="accent3"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105</w:t>
            </w:r>
          </w:p>
        </w:tc>
      </w:tr>
      <w:tr>
        <w:trPr>
          <w:trHeight w:val="248"/>
        </w:trPr>
        <w:tc>
          <w:tcPr>
            <w:tcW w:w="2794" w:type="dxa"/>
            <w:shd w:val="clear" w:color="auto" w:fill="E5DFEC" w:themeFill="accent4" w:themeFillTint="33"/>
            <w:vAlign w:val="center"/>
            <w:hideMark/>
          </w:tcPr>
          <w:p>
            <w:pPr>
              <w:spacing w:line="168" w:lineRule="auto"/>
              <w:jc w:val="both"/>
              <w:textAlignment w:val="bottom"/>
              <w:rPr>
                <w:sz w:val="18"/>
                <w:szCs w:val="18"/>
                <w:lang w:eastAsia="id-ID"/>
              </w:rPr>
            </w:pPr>
            <w:r>
              <w:rPr>
                <w:bCs/>
                <w:kern w:val="24"/>
                <w:sz w:val="18"/>
                <w:szCs w:val="18"/>
                <w:lang w:eastAsia="id-ID"/>
              </w:rPr>
              <w:t>Murung Raya</w:t>
            </w:r>
          </w:p>
        </w:tc>
        <w:tc>
          <w:tcPr>
            <w:tcW w:w="2559" w:type="dxa"/>
            <w:shd w:val="clear" w:color="auto" w:fill="E5DFEC" w:themeFill="accent4"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108</w:t>
            </w:r>
          </w:p>
        </w:tc>
      </w:tr>
      <w:tr>
        <w:trPr>
          <w:trHeight w:val="268"/>
        </w:trPr>
        <w:tc>
          <w:tcPr>
            <w:tcW w:w="2794" w:type="dxa"/>
            <w:shd w:val="clear" w:color="auto" w:fill="EAF1DD" w:themeFill="accent3" w:themeFillTint="33"/>
            <w:vAlign w:val="center"/>
            <w:hideMark/>
          </w:tcPr>
          <w:p>
            <w:pPr>
              <w:spacing w:line="168" w:lineRule="auto"/>
              <w:jc w:val="both"/>
              <w:textAlignment w:val="bottom"/>
              <w:rPr>
                <w:sz w:val="18"/>
                <w:szCs w:val="18"/>
                <w:lang w:eastAsia="id-ID"/>
              </w:rPr>
            </w:pPr>
            <w:r>
              <w:rPr>
                <w:bCs/>
                <w:kern w:val="24"/>
                <w:sz w:val="18"/>
                <w:szCs w:val="18"/>
                <w:lang w:eastAsia="id-ID"/>
              </w:rPr>
              <w:t>Palangka Raya</w:t>
            </w:r>
          </w:p>
        </w:tc>
        <w:tc>
          <w:tcPr>
            <w:tcW w:w="2559" w:type="dxa"/>
            <w:shd w:val="clear" w:color="auto" w:fill="EAF1DD" w:themeFill="accent3"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104</w:t>
            </w:r>
          </w:p>
        </w:tc>
      </w:tr>
      <w:tr>
        <w:trPr>
          <w:trHeight w:val="300"/>
        </w:trPr>
        <w:tc>
          <w:tcPr>
            <w:tcW w:w="2794" w:type="dxa"/>
            <w:shd w:val="clear" w:color="auto" w:fill="E5DFEC" w:themeFill="accent4" w:themeFillTint="33"/>
            <w:vAlign w:val="center"/>
            <w:hideMark/>
          </w:tcPr>
          <w:p>
            <w:pPr>
              <w:spacing w:line="168" w:lineRule="auto"/>
              <w:jc w:val="both"/>
              <w:rPr>
                <w:bCs/>
                <w:sz w:val="18"/>
                <w:szCs w:val="18"/>
              </w:rPr>
            </w:pPr>
            <w:r>
              <w:rPr>
                <w:bCs/>
                <w:sz w:val="18"/>
                <w:szCs w:val="18"/>
              </w:rPr>
              <w:t>Kalimantan Tengah</w:t>
            </w:r>
          </w:p>
        </w:tc>
        <w:tc>
          <w:tcPr>
            <w:tcW w:w="2559" w:type="dxa"/>
            <w:shd w:val="clear" w:color="auto" w:fill="E5DFEC" w:themeFill="accent4" w:themeFillTint="33"/>
            <w:vAlign w:val="center"/>
          </w:tcPr>
          <w:p>
            <w:pPr>
              <w:spacing w:line="168" w:lineRule="auto"/>
              <w:jc w:val="both"/>
              <w:rPr>
                <w:rFonts w:ascii="Calibri" w:hAnsi="Calibri" w:cs="Calibri"/>
                <w:color w:val="000000"/>
                <w:sz w:val="18"/>
                <w:szCs w:val="18"/>
              </w:rPr>
            </w:pPr>
            <w:r>
              <w:rPr>
                <w:rFonts w:ascii="Calibri" w:hAnsi="Calibri" w:cs="Calibri"/>
                <w:color w:val="000000"/>
                <w:sz w:val="18"/>
                <w:szCs w:val="18"/>
              </w:rPr>
              <w:t>108</w:t>
            </w:r>
          </w:p>
        </w:tc>
      </w:tr>
    </w:tbl>
    <w:p>
      <w:pPr>
        <w:pStyle w:val="BodyText"/>
        <w:spacing w:line="360" w:lineRule="auto"/>
        <w:ind w:left="284" w:right="27"/>
        <w:jc w:val="both"/>
        <w:rPr>
          <w:rFonts w:asciiTheme="minorHAnsi" w:hAnsiTheme="minorHAnsi"/>
        </w:rPr>
      </w:pPr>
      <w:r>
        <w:rPr>
          <w:rFonts w:asciiTheme="minorHAnsi" w:hAnsiTheme="minorHAnsi"/>
          <w:i/>
          <w:iCs/>
          <w:szCs w:val="18"/>
        </w:rPr>
        <w:t>Sumber : Proyeksi Interim hasil Sensus Penduduk 2020</w:t>
      </w:r>
    </w:p>
    <w:p>
      <w:pPr>
        <w:pStyle w:val="BodyText"/>
        <w:spacing w:after="0" w:line="360" w:lineRule="auto"/>
        <w:ind w:left="284" w:firstLine="567"/>
        <w:jc w:val="both"/>
        <w:rPr>
          <w:rFonts w:asciiTheme="minorHAnsi" w:hAnsiTheme="minorHAnsi"/>
        </w:rPr>
      </w:pPr>
      <w:r>
        <w:rPr>
          <w:rFonts w:asciiTheme="minorHAnsi" w:hAnsiTheme="minorHAnsi"/>
        </w:rPr>
        <w:lastRenderedPageBreak/>
        <w:t xml:space="preserve">Tabel 3.3 menunjukan rasio jenis kelamin dilihat per wilayah kabupaten/kota pada tahun 2021. Hasil proyeksi penduduk interim SP2020 menunjukkan bahwa Kabupaten Lamandau, Seruyan, dan Gunung Mas merupakan kabupaten dengan </w:t>
      </w:r>
      <w:r>
        <w:rPr>
          <w:rFonts w:asciiTheme="minorHAnsi" w:hAnsiTheme="minorHAnsi"/>
          <w:i/>
        </w:rPr>
        <w:t xml:space="preserve">sex ratio </w:t>
      </w:r>
      <w:r>
        <w:rPr>
          <w:rFonts w:asciiTheme="minorHAnsi" w:hAnsiTheme="minorHAnsi"/>
        </w:rPr>
        <w:t xml:space="preserve">tertinggi di Kalimantan Tengah. Sebaliknya, Kota Palangka Raya, Kabupaten Barito Timur dan Barito Selatan merupakan wilayah dengan </w:t>
      </w:r>
      <w:r>
        <w:rPr>
          <w:rFonts w:asciiTheme="minorHAnsi" w:hAnsiTheme="minorHAnsi"/>
          <w:i/>
          <w:iCs/>
        </w:rPr>
        <w:t xml:space="preserve">sex ratio </w:t>
      </w:r>
      <w:r>
        <w:rPr>
          <w:rFonts w:asciiTheme="minorHAnsi" w:hAnsiTheme="minorHAnsi"/>
        </w:rPr>
        <w:t xml:space="preserve">terrendah. </w:t>
      </w:r>
    </w:p>
    <w:p>
      <w:pPr>
        <w:jc w:val="both"/>
        <w:rPr>
          <w:sz w:val="20"/>
          <w:szCs w:val="20"/>
          <w:lang w:val="en-US"/>
        </w:rPr>
      </w:pPr>
    </w:p>
    <w:p>
      <w:pPr>
        <w:pStyle w:val="Heading2"/>
        <w:numPr>
          <w:ilvl w:val="1"/>
          <w:numId w:val="20"/>
        </w:numPr>
        <w:tabs>
          <w:tab w:val="left" w:pos="709"/>
        </w:tabs>
        <w:ind w:left="993" w:hanging="709"/>
        <w:jc w:val="both"/>
        <w:rPr>
          <w:rFonts w:asciiTheme="minorHAnsi" w:hAnsiTheme="minorHAnsi" w:cstheme="minorHAnsi"/>
          <w:sz w:val="20"/>
          <w:szCs w:val="20"/>
          <w:lang w:val="en-US"/>
        </w:rPr>
      </w:pPr>
      <w:bookmarkStart w:id="45" w:name="_Toc118715980"/>
      <w:r>
        <w:rPr>
          <w:rFonts w:asciiTheme="minorHAnsi" w:hAnsiTheme="minorHAnsi" w:cstheme="minorHAnsi"/>
          <w:sz w:val="20"/>
          <w:szCs w:val="20"/>
          <w:lang w:val="en-US"/>
        </w:rPr>
        <w:t>Potensi Menuju Penduduk Masa Depan</w:t>
      </w:r>
      <w:bookmarkEnd w:id="45"/>
    </w:p>
    <w:p>
      <w:pPr>
        <w:pStyle w:val="NoSpacing"/>
        <w:spacing w:line="360" w:lineRule="auto"/>
        <w:ind w:left="284" w:firstLine="567"/>
        <w:jc w:val="both"/>
        <w:rPr>
          <w:rFonts w:cs="Calibri"/>
          <w:color w:val="000000" w:themeColor="text1"/>
          <w:sz w:val="20"/>
          <w:szCs w:val="20"/>
          <w:lang w:val="id-ID"/>
        </w:rPr>
      </w:pPr>
      <w:r>
        <w:rPr>
          <w:color w:val="000000" w:themeColor="text1"/>
          <w:sz w:val="20"/>
          <w:szCs w:val="20"/>
          <w:lang w:val="id-ID"/>
        </w:rPr>
        <w:t>Pola perkembangan rasio ketergantungan total Provinsi Kalimantan Tengah mulai dari tahun 1971 sampai dengan 20</w:t>
      </w:r>
      <w:r>
        <w:rPr>
          <w:color w:val="000000" w:themeColor="text1"/>
          <w:sz w:val="20"/>
          <w:szCs w:val="20"/>
          <w:lang w:val="en-ID"/>
        </w:rPr>
        <w:t>2</w:t>
      </w:r>
      <w:r>
        <w:rPr>
          <w:color w:val="000000" w:themeColor="text1"/>
          <w:sz w:val="20"/>
          <w:szCs w:val="20"/>
        </w:rPr>
        <w:t>0</w:t>
      </w:r>
      <w:r>
        <w:rPr>
          <w:color w:val="000000" w:themeColor="text1"/>
          <w:sz w:val="20"/>
          <w:szCs w:val="20"/>
          <w:lang w:val="id-ID"/>
        </w:rPr>
        <w:t xml:space="preserve"> terlihat bahwa </w:t>
      </w:r>
      <w:r>
        <w:rPr>
          <w:rFonts w:cs="Calibri"/>
          <w:color w:val="000000" w:themeColor="text1"/>
          <w:sz w:val="20"/>
          <w:szCs w:val="20"/>
        </w:rPr>
        <w:t xml:space="preserve">penduduk usia kerja di </w:t>
      </w:r>
      <w:r>
        <w:rPr>
          <w:rFonts w:cs="Calibri"/>
          <w:color w:val="000000" w:themeColor="text1"/>
          <w:sz w:val="20"/>
          <w:szCs w:val="20"/>
          <w:lang w:val="id-ID"/>
        </w:rPr>
        <w:t>Kalimantan Tengah</w:t>
      </w:r>
      <w:r>
        <w:rPr>
          <w:rFonts w:cs="Calibri"/>
          <w:color w:val="000000" w:themeColor="text1"/>
          <w:sz w:val="20"/>
          <w:szCs w:val="20"/>
        </w:rPr>
        <w:t xml:space="preserve"> masih dibebani tanggung jawab akan penduduk muda yang proporsinya lebih banyak dibandingkan tanggung jawab terhadap penduduk tua.</w:t>
      </w:r>
      <w:r>
        <w:rPr>
          <w:rFonts w:cs="Calibri"/>
          <w:color w:val="000000" w:themeColor="text1"/>
          <w:sz w:val="20"/>
          <w:szCs w:val="20"/>
          <w:lang w:val="id-ID"/>
        </w:rPr>
        <w:t xml:space="preserve"> </w:t>
      </w:r>
      <w:r>
        <w:rPr>
          <w:rFonts w:cs="Calibri"/>
          <w:color w:val="000000" w:themeColor="text1"/>
          <w:sz w:val="20"/>
          <w:szCs w:val="20"/>
        </w:rPr>
        <w:t xml:space="preserve">Rasio ketergantungan ini sudah jauh berkurang dibandingkan dengan keadaan pada saat sensus 1971. </w:t>
      </w:r>
      <w:r>
        <w:rPr>
          <w:rFonts w:cs="Calibri"/>
          <w:color w:val="000000" w:themeColor="text1"/>
          <w:sz w:val="20"/>
          <w:szCs w:val="20"/>
          <w:lang w:val="id-ID"/>
        </w:rPr>
        <w:t>Meskipun pada tahun 1980 rasio ketergantungan sedikit meningkat, namun pada tahun berikutnya mengalami penurunan yang tajam.</w:t>
      </w:r>
    </w:p>
    <w:p>
      <w:pPr>
        <w:pStyle w:val="NoSpacing"/>
        <w:spacing w:before="240" w:line="360" w:lineRule="auto"/>
        <w:ind w:left="1560" w:hanging="1276"/>
        <w:jc w:val="both"/>
        <w:rPr>
          <w:b/>
          <w:bCs/>
          <w:sz w:val="20"/>
          <w:szCs w:val="20"/>
        </w:rPr>
      </w:pPr>
      <w:bookmarkStart w:id="46" w:name="_Toc117455687"/>
    </w:p>
    <w:p>
      <w:pPr>
        <w:pStyle w:val="NoSpacing"/>
        <w:spacing w:before="240" w:line="360" w:lineRule="auto"/>
        <w:ind w:left="1560" w:hanging="1276"/>
        <w:jc w:val="both"/>
        <w:rPr>
          <w:b/>
          <w:bCs/>
          <w:sz w:val="20"/>
          <w:szCs w:val="20"/>
        </w:rPr>
      </w:pPr>
    </w:p>
    <w:p>
      <w:pPr>
        <w:pStyle w:val="NoSpacing"/>
        <w:spacing w:before="240" w:line="360" w:lineRule="auto"/>
        <w:ind w:left="1560" w:hanging="1276"/>
        <w:jc w:val="both"/>
        <w:rPr>
          <w:b/>
          <w:bCs/>
          <w:sz w:val="20"/>
          <w:szCs w:val="20"/>
        </w:rPr>
      </w:pPr>
    </w:p>
    <w:p>
      <w:pPr>
        <w:pStyle w:val="NoSpacing"/>
        <w:spacing w:before="240" w:line="360" w:lineRule="auto"/>
        <w:ind w:left="1560" w:hanging="1276"/>
        <w:jc w:val="both"/>
        <w:rPr>
          <w:b/>
          <w:bCs/>
          <w:sz w:val="20"/>
          <w:szCs w:val="20"/>
        </w:rPr>
      </w:pPr>
    </w:p>
    <w:p>
      <w:pPr>
        <w:pStyle w:val="NoSpacing"/>
        <w:spacing w:before="240" w:line="360" w:lineRule="auto"/>
        <w:ind w:left="1560" w:hanging="1276"/>
        <w:jc w:val="both"/>
        <w:rPr>
          <w:b/>
          <w:bCs/>
          <w:sz w:val="20"/>
          <w:szCs w:val="20"/>
        </w:rPr>
      </w:pPr>
    </w:p>
    <w:p>
      <w:pPr>
        <w:pStyle w:val="NoSpacing"/>
        <w:spacing w:before="240" w:line="360" w:lineRule="auto"/>
        <w:ind w:left="1560" w:hanging="1276"/>
        <w:jc w:val="both"/>
        <w:rPr>
          <w:rFonts w:cs="Calibri"/>
          <w:b/>
          <w:bCs/>
          <w:color w:val="000000" w:themeColor="text1"/>
          <w:sz w:val="20"/>
          <w:szCs w:val="20"/>
          <w:lang w:val="en-ID"/>
        </w:rPr>
      </w:pPr>
      <w:r>
        <w:rPr>
          <w:b/>
          <w:bCs/>
          <w:sz w:val="20"/>
          <w:szCs w:val="20"/>
        </w:rPr>
        <w:lastRenderedPageBreak/>
        <w:t xml:space="preserve">Gambar 3. </w:t>
      </w:r>
      <w:r>
        <w:rPr>
          <w:b/>
          <w:bCs/>
          <w:sz w:val="20"/>
          <w:szCs w:val="20"/>
        </w:rPr>
        <w:fldChar w:fldCharType="begin"/>
      </w:r>
      <w:r>
        <w:rPr>
          <w:b/>
          <w:bCs/>
          <w:sz w:val="20"/>
          <w:szCs w:val="20"/>
        </w:rPr>
        <w:instrText xml:space="preserve"> SEQ Gambar_3. \* ARABIC </w:instrText>
      </w:r>
      <w:r>
        <w:rPr>
          <w:b/>
          <w:bCs/>
          <w:sz w:val="20"/>
          <w:szCs w:val="20"/>
        </w:rPr>
        <w:fldChar w:fldCharType="separate"/>
      </w:r>
      <w:r>
        <w:rPr>
          <w:b/>
          <w:bCs/>
          <w:noProof/>
          <w:sz w:val="20"/>
          <w:szCs w:val="20"/>
        </w:rPr>
        <w:t>3</w:t>
      </w:r>
      <w:r>
        <w:rPr>
          <w:b/>
          <w:bCs/>
          <w:sz w:val="20"/>
          <w:szCs w:val="20"/>
        </w:rPr>
        <w:fldChar w:fldCharType="end"/>
      </w:r>
      <w:r>
        <w:rPr>
          <w:b/>
          <w:bCs/>
          <w:sz w:val="20"/>
          <w:szCs w:val="20"/>
        </w:rPr>
        <w:tab/>
      </w:r>
      <w:r>
        <w:rPr>
          <w:rFonts w:cs="Calibri"/>
          <w:b/>
          <w:bCs/>
          <w:color w:val="000000" w:themeColor="text1"/>
          <w:sz w:val="20"/>
          <w:szCs w:val="20"/>
          <w:lang w:val="en-ID"/>
        </w:rPr>
        <w:t>Rasio Ketergantungan Total, Usia Muda, dan Usia Tua 1971-2020</w:t>
      </w:r>
      <w:bookmarkEnd w:id="46"/>
    </w:p>
    <w:p>
      <w:pPr>
        <w:pStyle w:val="NoSpacing"/>
        <w:spacing w:before="240" w:line="360" w:lineRule="auto"/>
        <w:jc w:val="both"/>
        <w:rPr>
          <w:rFonts w:cs="Calibri"/>
          <w:b/>
          <w:bCs/>
          <w:color w:val="000000" w:themeColor="text1"/>
          <w:sz w:val="20"/>
          <w:szCs w:val="20"/>
          <w:lang w:val="en-ID"/>
        </w:rPr>
      </w:pPr>
      <w:r>
        <w:rPr>
          <w:noProof/>
          <w:sz w:val="20"/>
          <w:szCs w:val="20"/>
          <w:lang w:val="en-ID" w:eastAsia="en-ID"/>
        </w:rPr>
        <w:drawing>
          <wp:anchor distT="0" distB="0" distL="114300" distR="114300" simplePos="0" relativeHeight="251636736" behindDoc="0" locked="0" layoutInCell="1" allowOverlap="1">
            <wp:simplePos x="0" y="0"/>
            <wp:positionH relativeFrom="column">
              <wp:posOffset>120015</wp:posOffset>
            </wp:positionH>
            <wp:positionV relativeFrom="paragraph">
              <wp:posOffset>44449</wp:posOffset>
            </wp:positionV>
            <wp:extent cx="3742055" cy="2333625"/>
            <wp:effectExtent l="0" t="0" r="0" b="0"/>
            <wp:wrapNone/>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268F09-4C8E-0BCC-FA4E-AD3AED4E4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pPr>
        <w:pStyle w:val="NoSpacing"/>
        <w:spacing w:before="240" w:line="360" w:lineRule="auto"/>
        <w:jc w:val="both"/>
        <w:rPr>
          <w:rFonts w:cs="Calibri"/>
          <w:b/>
          <w:bCs/>
          <w:color w:val="000000" w:themeColor="text1"/>
          <w:sz w:val="20"/>
          <w:szCs w:val="20"/>
          <w:lang w:val="en-ID"/>
        </w:rPr>
      </w:pPr>
    </w:p>
    <w:p>
      <w:pPr>
        <w:pStyle w:val="NoSpacing"/>
        <w:spacing w:before="240" w:line="360" w:lineRule="auto"/>
        <w:jc w:val="both"/>
        <w:rPr>
          <w:rFonts w:cs="Calibri"/>
          <w:b/>
          <w:bCs/>
          <w:color w:val="000000" w:themeColor="text1"/>
          <w:sz w:val="20"/>
          <w:szCs w:val="20"/>
          <w:lang w:val="en-ID"/>
        </w:rPr>
      </w:pPr>
    </w:p>
    <w:p>
      <w:pPr>
        <w:pStyle w:val="NoSpacing"/>
        <w:spacing w:before="240" w:line="360" w:lineRule="auto"/>
        <w:jc w:val="both"/>
        <w:rPr>
          <w:rFonts w:cs="Calibri"/>
          <w:b/>
          <w:bCs/>
          <w:color w:val="000000" w:themeColor="text1"/>
          <w:sz w:val="20"/>
          <w:szCs w:val="20"/>
          <w:lang w:val="en-ID"/>
        </w:rPr>
      </w:pPr>
    </w:p>
    <w:p>
      <w:pPr>
        <w:jc w:val="both"/>
        <w:rPr>
          <w:sz w:val="20"/>
          <w:szCs w:val="20"/>
          <w:lang w:val="en-US"/>
        </w:rPr>
      </w:pPr>
    </w:p>
    <w:p>
      <w:pPr>
        <w:jc w:val="both"/>
        <w:rPr>
          <w:rFonts w:cstheme="minorHAnsi"/>
          <w:noProof/>
          <w:color w:val="C00000"/>
          <w:sz w:val="20"/>
          <w:szCs w:val="20"/>
          <w:lang w:val="en-US" w:eastAsia="id-ID"/>
        </w:rPr>
      </w:pPr>
    </w:p>
    <w:p>
      <w:pPr>
        <w:jc w:val="both"/>
        <w:rPr>
          <w:rFonts w:cstheme="minorHAnsi"/>
          <w:noProof/>
          <w:color w:val="C00000"/>
          <w:sz w:val="20"/>
          <w:szCs w:val="20"/>
          <w:lang w:val="en-US" w:eastAsia="id-ID"/>
        </w:rPr>
      </w:pPr>
    </w:p>
    <w:p>
      <w:pPr>
        <w:pStyle w:val="NoSpacing"/>
        <w:ind w:left="142"/>
        <w:jc w:val="both"/>
        <w:rPr>
          <w:b/>
          <w:sz w:val="18"/>
          <w:szCs w:val="18"/>
        </w:rPr>
      </w:pPr>
      <w:r>
        <w:rPr>
          <w:i/>
          <w:iCs/>
          <w:sz w:val="18"/>
          <w:szCs w:val="18"/>
        </w:rPr>
        <w:t>Sumber : BPS, SP2000-2020</w:t>
      </w:r>
    </w:p>
    <w:p>
      <w:pPr>
        <w:pStyle w:val="NoSpacing"/>
        <w:spacing w:before="240" w:line="360" w:lineRule="auto"/>
        <w:ind w:left="284" w:firstLine="567"/>
        <w:jc w:val="both"/>
        <w:rPr>
          <w:rFonts w:cs="Calibri"/>
          <w:sz w:val="20"/>
          <w:szCs w:val="20"/>
        </w:rPr>
      </w:pPr>
      <w:r>
        <w:rPr>
          <w:rFonts w:cs="Calibri"/>
          <w:sz w:val="20"/>
          <w:szCs w:val="20"/>
        </w:rPr>
        <w:t>Pada tahun 1971 rasio ketergantungan total adalah sebesar 8</w:t>
      </w:r>
      <w:r>
        <w:rPr>
          <w:rFonts w:cs="Calibri"/>
          <w:sz w:val="20"/>
          <w:szCs w:val="20"/>
          <w:lang w:val="id-ID"/>
        </w:rPr>
        <w:t>7</w:t>
      </w:r>
      <w:r>
        <w:rPr>
          <w:rFonts w:cs="Calibri"/>
          <w:sz w:val="20"/>
          <w:szCs w:val="20"/>
        </w:rPr>
        <w:t xml:space="preserve"> per 100 penduduk usia kerja/produktif, dan kemudian </w:t>
      </w:r>
      <w:r>
        <w:rPr>
          <w:rFonts w:cs="Calibri"/>
          <w:sz w:val="20"/>
          <w:szCs w:val="20"/>
          <w:lang w:val="id-ID"/>
        </w:rPr>
        <w:t>sedikit meningkat pada tahun 1980 sebesar 89,95</w:t>
      </w:r>
      <w:r>
        <w:rPr>
          <w:rFonts w:cs="Calibri"/>
          <w:sz w:val="20"/>
          <w:szCs w:val="20"/>
          <w:lang w:val="en-ID"/>
        </w:rPr>
        <w:t xml:space="preserve"> </w:t>
      </w:r>
      <w:r>
        <w:rPr>
          <w:rFonts w:cs="Calibri"/>
          <w:sz w:val="20"/>
          <w:szCs w:val="20"/>
          <w:lang w:val="id-ID"/>
        </w:rPr>
        <w:t xml:space="preserve">dan </w:t>
      </w:r>
      <w:r>
        <w:rPr>
          <w:rFonts w:cs="Calibri"/>
          <w:sz w:val="20"/>
          <w:szCs w:val="20"/>
        </w:rPr>
        <w:t>menurun secara pasti sampai tahun 20</w:t>
      </w:r>
      <w:r>
        <w:rPr>
          <w:rFonts w:cs="Calibri"/>
          <w:sz w:val="20"/>
          <w:szCs w:val="20"/>
          <w:lang w:val="en-ID"/>
        </w:rPr>
        <w:t>2</w:t>
      </w:r>
      <w:r>
        <w:rPr>
          <w:rFonts w:cs="Calibri"/>
          <w:sz w:val="20"/>
          <w:szCs w:val="20"/>
        </w:rPr>
        <w:t>0. Penurunan ini terjadi terutama karena penurunan tingkat kelahiran sebagai dampak dari keberhasilan program keluarga berencana selama 40 tahun terakhir.</w:t>
      </w:r>
    </w:p>
    <w:p>
      <w:pPr>
        <w:pStyle w:val="NoSpacing"/>
        <w:spacing w:line="360" w:lineRule="auto"/>
        <w:ind w:left="284" w:firstLine="567"/>
        <w:jc w:val="both"/>
        <w:rPr>
          <w:rFonts w:cs="Calibri"/>
          <w:sz w:val="20"/>
          <w:szCs w:val="20"/>
        </w:rPr>
      </w:pPr>
      <w:r>
        <w:rPr>
          <w:rFonts w:cs="Calibri"/>
          <w:sz w:val="20"/>
          <w:szCs w:val="20"/>
        </w:rPr>
        <w:t>Pada tahun 2020, rasio ketergantungan total penduduk Provinsi Kalimantan Tengah sudah semakin menurun menjadi 42,46. Hal ini disebabkan oleh peningkatan penduduk usia</w:t>
      </w:r>
      <w:r>
        <w:rPr>
          <w:rFonts w:cs="Calibri"/>
        </w:rPr>
        <w:t xml:space="preserve"> produktif umur 15-64 tahun yang jumlahnya lebih besar dibandingkan dengan jumlah </w:t>
      </w:r>
      <w:r>
        <w:rPr>
          <w:rFonts w:cs="Calibri"/>
          <w:sz w:val="20"/>
          <w:szCs w:val="20"/>
        </w:rPr>
        <w:t xml:space="preserve">penduduk muda (0-14 tahun) maupun penduduk tua (umur 65 tahun ke atas). Kondisi </w:t>
      </w:r>
      <w:r>
        <w:rPr>
          <w:rFonts w:cs="Calibri"/>
          <w:sz w:val="20"/>
          <w:szCs w:val="20"/>
        </w:rPr>
        <w:lastRenderedPageBreak/>
        <w:t xml:space="preserve">ini mengisyaratkan bahwa Provinsi Kalimantan Tengah sudah mulai memasuki fase Bonus Demografi. Hal ini tentunya perlu dicermati bersama agar momentum Bonus Demografi ini bisa menjadi hal yang positip yang bermanfaat untuk semuanya bukan sebaliknya. </w:t>
      </w:r>
    </w:p>
    <w:p>
      <w:pPr>
        <w:pStyle w:val="NoSpacing"/>
        <w:spacing w:before="240" w:after="240"/>
        <w:ind w:left="1560" w:hanging="1276"/>
        <w:jc w:val="both"/>
        <w:rPr>
          <w:b/>
          <w:bCs/>
          <w:color w:val="000000" w:themeColor="text1"/>
          <w:sz w:val="20"/>
          <w:szCs w:val="20"/>
        </w:rPr>
      </w:pPr>
      <w:r>
        <w:rPr>
          <w:noProof/>
          <w:lang w:val="en-ID" w:eastAsia="en-ID"/>
        </w:rPr>
        <w:drawing>
          <wp:anchor distT="0" distB="0" distL="114300" distR="114300" simplePos="0" relativeHeight="251638784" behindDoc="0" locked="0" layoutInCell="1" allowOverlap="1">
            <wp:simplePos x="0" y="0"/>
            <wp:positionH relativeFrom="column">
              <wp:posOffset>165735</wp:posOffset>
            </wp:positionH>
            <wp:positionV relativeFrom="paragraph">
              <wp:posOffset>521970</wp:posOffset>
            </wp:positionV>
            <wp:extent cx="3609975" cy="1657350"/>
            <wp:effectExtent l="0" t="0" r="0" b="0"/>
            <wp:wrapNone/>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9DF49B-7F42-37D1-51E8-E6277B6C7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b/>
          <w:bCs/>
          <w:sz w:val="20"/>
          <w:szCs w:val="20"/>
        </w:rPr>
        <w:t xml:space="preserve">Gambar 3. </w:t>
      </w:r>
      <w:r>
        <w:rPr>
          <w:b/>
          <w:bCs/>
          <w:sz w:val="20"/>
          <w:szCs w:val="20"/>
        </w:rPr>
        <w:fldChar w:fldCharType="begin"/>
      </w:r>
      <w:r>
        <w:rPr>
          <w:b/>
          <w:bCs/>
          <w:sz w:val="20"/>
          <w:szCs w:val="20"/>
        </w:rPr>
        <w:instrText xml:space="preserve"> SEQ Gambar_3. \* ARABIC </w:instrText>
      </w:r>
      <w:r>
        <w:rPr>
          <w:b/>
          <w:bCs/>
          <w:sz w:val="20"/>
          <w:szCs w:val="20"/>
        </w:rPr>
        <w:fldChar w:fldCharType="separate"/>
      </w:r>
      <w:r>
        <w:rPr>
          <w:b/>
          <w:bCs/>
          <w:noProof/>
          <w:sz w:val="20"/>
          <w:szCs w:val="20"/>
        </w:rPr>
        <w:t>4</w:t>
      </w:r>
      <w:r>
        <w:rPr>
          <w:b/>
          <w:bCs/>
          <w:sz w:val="20"/>
          <w:szCs w:val="20"/>
        </w:rPr>
        <w:fldChar w:fldCharType="end"/>
      </w:r>
      <w:r>
        <w:rPr>
          <w:b/>
          <w:bCs/>
          <w:sz w:val="20"/>
          <w:szCs w:val="20"/>
        </w:rPr>
        <w:tab/>
      </w:r>
      <w:r>
        <w:rPr>
          <w:b/>
          <w:bCs/>
          <w:color w:val="000000" w:themeColor="text1"/>
          <w:sz w:val="20"/>
          <w:szCs w:val="20"/>
        </w:rPr>
        <w:t>Perkembangan Rasio Ketergantungan Penduduk Kalimantan Tengah, 2000-2020</w:t>
      </w:r>
    </w:p>
    <w:p>
      <w:pPr>
        <w:pStyle w:val="NoSpacing"/>
        <w:ind w:left="1418" w:hanging="1418"/>
        <w:jc w:val="both"/>
        <w:rPr>
          <w:b/>
          <w:bCs/>
          <w:color w:val="000000" w:themeColor="text1"/>
        </w:rPr>
      </w:pPr>
    </w:p>
    <w:p>
      <w:pPr>
        <w:pStyle w:val="Caption"/>
        <w:jc w:val="both"/>
        <w:rPr>
          <w:rFonts w:cs="Calibri"/>
          <w:sz w:val="22"/>
          <w:szCs w:val="22"/>
        </w:rPr>
      </w:pPr>
    </w:p>
    <w:p>
      <w:pPr>
        <w:jc w:val="both"/>
        <w:rPr>
          <w:rFonts w:cstheme="minorHAnsi"/>
          <w:noProof/>
          <w:color w:val="C00000"/>
          <w:lang w:val="en-US" w:eastAsia="id-ID"/>
        </w:rPr>
      </w:pPr>
    </w:p>
    <w:p>
      <w:pPr>
        <w:jc w:val="both"/>
        <w:rPr>
          <w:noProof/>
          <w:lang w:val="en-US" w:eastAsia="id-ID"/>
        </w:rPr>
      </w:pPr>
    </w:p>
    <w:p>
      <w:pPr>
        <w:jc w:val="both"/>
        <w:rPr>
          <w:noProof/>
          <w:lang w:val="en-US" w:eastAsia="id-ID"/>
        </w:rPr>
      </w:pPr>
    </w:p>
    <w:p>
      <w:pPr>
        <w:pStyle w:val="NoSpacing"/>
        <w:jc w:val="both"/>
        <w:rPr>
          <w:i/>
          <w:iCs/>
        </w:rPr>
      </w:pPr>
    </w:p>
    <w:p>
      <w:pPr>
        <w:pStyle w:val="NoSpacing"/>
        <w:ind w:left="142"/>
        <w:jc w:val="both"/>
        <w:rPr>
          <w:b/>
          <w:sz w:val="18"/>
          <w:szCs w:val="18"/>
        </w:rPr>
      </w:pPr>
      <w:r>
        <w:rPr>
          <w:i/>
          <w:iCs/>
          <w:sz w:val="18"/>
          <w:szCs w:val="18"/>
        </w:rPr>
        <w:t>Sumber : BPS, SP2000-2020</w:t>
      </w: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r>
        <w:rPr>
          <w:noProof/>
          <w:lang w:val="en-ID" w:eastAsia="en-ID"/>
        </w:rPr>
        <w:lastRenderedPageBreak/>
        <mc:AlternateContent>
          <mc:Choice Requires="wps">
            <w:drawing>
              <wp:anchor distT="0" distB="0" distL="114300" distR="114300" simplePos="0" relativeHeight="251771392" behindDoc="0" locked="0" layoutInCell="1" allowOverlap="1">
                <wp:simplePos x="0" y="0"/>
                <wp:positionH relativeFrom="page">
                  <wp:align>left</wp:align>
                </wp:positionH>
                <wp:positionV relativeFrom="paragraph">
                  <wp:posOffset>-797155</wp:posOffset>
                </wp:positionV>
                <wp:extent cx="5319716" cy="866899"/>
                <wp:effectExtent l="0" t="0" r="14605" b="28575"/>
                <wp:wrapNone/>
                <wp:docPr id="121" name="Rectangle 121"/>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EF8B4F" id="Rectangle 121" o:spid="_x0000_s1026" style="position:absolute;margin-left:0;margin-top:-62.75pt;width:418.9pt;height:68.25pt;z-index:2517713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" fillcolor="white [3212]" strokecolor="white [3212]" strokeweight="2pt">
                <w10:wrap anchorx="page"/>
              </v:rect>
            </w:pict>
          </mc:Fallback>
        </mc:AlternateContent>
      </w: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r>
        <w:rPr>
          <w:noProof/>
          <w:lang w:val="en-ID" w:eastAsia="en-ID"/>
        </w:rPr>
        <mc:AlternateContent>
          <mc:Choice Requires="wps">
            <w:drawing>
              <wp:anchor distT="0" distB="0" distL="114300" distR="114300" simplePos="0" relativeHeight="251769344" behindDoc="0" locked="0" layoutInCell="1" allowOverlap="1">
                <wp:simplePos x="0" y="0"/>
                <wp:positionH relativeFrom="margin">
                  <wp:posOffset>-550421</wp:posOffset>
                </wp:positionH>
                <wp:positionV relativeFrom="paragraph">
                  <wp:posOffset>219785</wp:posOffset>
                </wp:positionV>
                <wp:extent cx="5319716" cy="866899"/>
                <wp:effectExtent l="0" t="0" r="14605" b="28575"/>
                <wp:wrapNone/>
                <wp:docPr id="120" name="Rectangle 120"/>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5B772" id="Rectangle 120" o:spid="_x0000_s1026" style="position:absolute;margin-left:-43.35pt;margin-top:17.3pt;width:418.9pt;height:68.25pt;z-index:251769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" fillcolor="white [3212]" strokecolor="white [3212]" strokeweight="2pt">
                <w10:wrap anchorx="margin"/>
              </v:rect>
            </w:pict>
          </mc:Fallback>
        </mc:AlternateContent>
      </w:r>
    </w:p>
    <w:p>
      <w:pPr>
        <w:jc w:val="both"/>
        <w:rPr>
          <w:noProof/>
          <w:lang w:val="en-US" w:eastAsia="id-ID"/>
        </w:rPr>
      </w:pPr>
      <w:r>
        <w:rPr>
          <w:noProof/>
          <w:lang w:val="en-ID" w:eastAsia="en-ID"/>
        </w:rPr>
        <w:lastRenderedPageBreak/>
        <w:drawing>
          <wp:anchor distT="0" distB="0" distL="114300" distR="114300" simplePos="0" relativeHeight="251708928" behindDoc="0" locked="0" layoutInCell="1" allowOverlap="1">
            <wp:simplePos x="0" y="0"/>
            <wp:positionH relativeFrom="page">
              <wp:align>right</wp:align>
            </wp:positionH>
            <wp:positionV relativeFrom="paragraph">
              <wp:posOffset>-919481</wp:posOffset>
            </wp:positionV>
            <wp:extent cx="5320290" cy="7540831"/>
            <wp:effectExtent l="0" t="0" r="0" b="31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20290" cy="7540831"/>
                    </a:xfrm>
                    <a:prstGeom prst="rect">
                      <a:avLst/>
                    </a:prstGeom>
                  </pic:spPr>
                </pic:pic>
              </a:graphicData>
            </a:graphic>
            <wp14:sizeRelH relativeFrom="page">
              <wp14:pctWidth>0</wp14:pctWidth>
            </wp14:sizeRelH>
            <wp14:sizeRelV relativeFrom="page">
              <wp14:pctHeight>0</wp14:pctHeight>
            </wp14:sizeRelV>
          </wp:anchor>
        </w:drawing>
      </w:r>
    </w:p>
    <w:p>
      <w:pPr>
        <w:jc w:val="both"/>
        <w:rPr>
          <w:noProof/>
          <w:lang w:val="en-US" w:eastAsia="id-ID"/>
        </w:rPr>
      </w:pPr>
    </w:p>
    <w:p>
      <w:pPr>
        <w:jc w:val="both"/>
        <w:rPr>
          <w:noProof/>
          <w:lang w:val="en-US" w:eastAsia="id-ID"/>
        </w:rPr>
      </w:pPr>
    </w:p>
    <w:p>
      <w:pPr>
        <w:jc w:val="both"/>
        <w:rPr>
          <w:noProof/>
          <w:lang w:val="en-US" w:eastAsia="id-ID"/>
        </w:rPr>
      </w:pPr>
      <w:r>
        <w:rPr>
          <w:noProof/>
          <w:lang w:val="en-US" w:eastAsia="id-ID"/>
        </w:rPr>
        <w:t>PENDIDIKAN</w:t>
      </w: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r>
        <w:rPr>
          <w:noProof/>
          <w:lang w:val="en-ID" w:eastAsia="en-ID"/>
        </w:rPr>
        <w:lastRenderedPageBreak/>
        <mc:AlternateContent>
          <mc:Choice Requires="wps">
            <w:drawing>
              <wp:anchor distT="0" distB="0" distL="114300" distR="114300" simplePos="0" relativeHeight="251767296" behindDoc="0" locked="0" layoutInCell="1" allowOverlap="1">
                <wp:simplePos x="0" y="0"/>
                <wp:positionH relativeFrom="page">
                  <wp:align>left</wp:align>
                </wp:positionH>
                <wp:positionV relativeFrom="paragraph">
                  <wp:posOffset>-789486</wp:posOffset>
                </wp:positionV>
                <wp:extent cx="5319716" cy="866899"/>
                <wp:effectExtent l="0" t="0" r="14605" b="28575"/>
                <wp:wrapNone/>
                <wp:docPr id="119" name="Rectangle 119"/>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62973" id="Rectangle 119" o:spid="_x0000_s1026" style="position:absolute;margin-left:0;margin-top:-62.15pt;width:418.9pt;height:68.25pt;z-index:2517672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" fillcolor="white [3212]" strokecolor="white [3212]" strokeweight="2pt">
                <w10:wrap anchorx="page"/>
              </v:rect>
            </w:pict>
          </mc:Fallback>
        </mc:AlternateContent>
      </w: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p>
    <w:p>
      <w:pPr>
        <w:jc w:val="both"/>
        <w:rPr>
          <w:noProof/>
          <w:lang w:val="en-US" w:eastAsia="id-ID"/>
        </w:rPr>
      </w:pPr>
      <w:r>
        <w:rPr>
          <w:noProof/>
          <w:lang w:val="en-ID" w:eastAsia="en-ID"/>
        </w:rPr>
        <mc:AlternateContent>
          <mc:Choice Requires="wps">
            <w:drawing>
              <wp:anchor distT="0" distB="0" distL="114300" distR="114300" simplePos="0" relativeHeight="251765248" behindDoc="0" locked="0" layoutInCell="1" allowOverlap="1">
                <wp:simplePos x="0" y="0"/>
                <wp:positionH relativeFrom="page">
                  <wp:posOffset>-1229</wp:posOffset>
                </wp:positionH>
                <wp:positionV relativeFrom="paragraph">
                  <wp:posOffset>248788</wp:posOffset>
                </wp:positionV>
                <wp:extent cx="5319716" cy="866899"/>
                <wp:effectExtent l="0" t="0" r="14605" b="28575"/>
                <wp:wrapNone/>
                <wp:docPr id="118" name="Rectangle 118"/>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3AFE47" id="Rectangle 118" o:spid="_x0000_s1026" style="position:absolute;margin-left:-.1pt;margin-top:19.6pt;width:418.9pt;height:68.25pt;z-index:251765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" fillcolor="white [3212]" strokecolor="white [3212]" strokeweight="2pt">
                <w10:wrap anchorx="page"/>
              </v:rect>
            </w:pict>
          </mc:Fallback>
        </mc:AlternateContent>
      </w:r>
    </w:p>
    <w:p>
      <w:pPr>
        <w:pStyle w:val="Heading1"/>
        <w:spacing w:after="0"/>
        <w:rPr>
          <w:rFonts w:asciiTheme="minorHAnsi" w:hAnsiTheme="minorHAnsi" w:cstheme="minorHAnsi"/>
          <w:sz w:val="32"/>
          <w:lang w:val="en-US"/>
        </w:rPr>
      </w:pPr>
      <w:bookmarkStart w:id="47" w:name="_Toc118715981"/>
      <w:r>
        <w:rPr>
          <w:rFonts w:asciiTheme="minorHAnsi" w:hAnsiTheme="minorHAnsi" w:cstheme="minorHAnsi"/>
          <w:sz w:val="32"/>
          <w:lang w:val="en-US"/>
        </w:rPr>
        <w:lastRenderedPageBreak/>
        <w:t>BAB IV</w:t>
      </w:r>
      <w:bookmarkEnd w:id="47"/>
    </w:p>
    <w:p>
      <w:pPr>
        <w:spacing w:after="0"/>
        <w:jc w:val="center"/>
        <w:rPr>
          <w:rFonts w:cstheme="minorHAnsi"/>
          <w:b/>
          <w:sz w:val="32"/>
          <w:szCs w:val="32"/>
          <w:lang w:val="en-US"/>
        </w:rPr>
      </w:pPr>
      <w:r>
        <w:rPr>
          <w:rFonts w:cstheme="minorHAnsi"/>
          <w:b/>
          <w:sz w:val="32"/>
          <w:szCs w:val="32"/>
          <w:lang w:val="en-US"/>
        </w:rPr>
        <w:t>PENDIDIKAN</w:t>
      </w:r>
    </w:p>
    <w:p>
      <w:pPr>
        <w:spacing w:after="0"/>
        <w:jc w:val="center"/>
        <w:rPr>
          <w:rFonts w:cstheme="minorHAnsi"/>
          <w:b/>
          <w:sz w:val="20"/>
          <w:szCs w:val="20"/>
          <w:lang w:val="en-US"/>
        </w:rPr>
      </w:pPr>
    </w:p>
    <w:p>
      <w:pPr>
        <w:pStyle w:val="BodyText"/>
        <w:spacing w:after="0" w:line="360" w:lineRule="auto"/>
        <w:ind w:left="284" w:firstLine="567"/>
        <w:jc w:val="both"/>
        <w:rPr>
          <w:rFonts w:asciiTheme="minorHAnsi" w:hAnsiTheme="minorHAnsi"/>
        </w:rPr>
      </w:pPr>
      <w:r>
        <w:rPr>
          <w:rFonts w:asciiTheme="minorHAnsi" w:hAnsiTheme="minorHAnsi"/>
        </w:rPr>
        <w:t>Pendidikan merupakan salah satu sarana untuk meningkatkan kecerdasan dan keterampilan menuju masyarakat dewasa dan mandiri, sehingga kualitas sumber daya manusia sangat tergantung dari kualitas pendidikan. Sebagaimana termaktub dalam UUD 1945, pendidikan merupakan hak setiap warga negara yang bertujuan untuk mencerdaskan kehidupan bangsa telah atau sedang dicapai oleh masyarakat merupakan salah satu indikator untuk mengukur tingkat kesejahteraan dan kemajuan sosial ekonomi masyarakat di suatu negara. Oleh karenanya, UU Nomor 20 Tahun 2003 tentang Sistem Pendidikan Nasional mengamanatkan kepada pemerintah untuk menggelontorkan 20 persen dana APBN dan APBD kepada dunia pendidikan.</w:t>
      </w:r>
    </w:p>
    <w:p>
      <w:pPr>
        <w:pStyle w:val="BodyText"/>
        <w:spacing w:after="0" w:line="360" w:lineRule="auto"/>
        <w:ind w:left="284" w:firstLine="567"/>
        <w:jc w:val="both"/>
        <w:rPr>
          <w:rFonts w:asciiTheme="minorHAnsi" w:hAnsiTheme="minorHAnsi"/>
        </w:rPr>
      </w:pPr>
      <w:r>
        <w:rPr>
          <w:rFonts w:asciiTheme="minorHAnsi" w:hAnsiTheme="minorHAnsi"/>
        </w:rPr>
        <w:t xml:space="preserve">Kesejahteraan penduduk di suatu wilayah tidak terlepas dari pendidikan yang merupakan penentu kualitas penduduk tersebut. Oleh sebab itu, sektor pendidikan selalu menjadi fokus pemerintah dalam melaksanakan program pembangunan. Hasil pendidikan yang telah dicapai oleh masyarakat berguna untuk meningkatkan kesejahteraan masyarakatnya. Dengan pemerataan pendidikan masyarakat khususnya di Kalimantan Tengah diharapkan dapat meningkatkan taraf hidup dan kesejahteraan penduduk. Dalam kaitan ini, pemerintah terus berupaya melaksanakan berbagai kebijakan pendidikan yang kesemuanya tak lain </w:t>
      </w:r>
      <w:r>
        <w:rPr>
          <w:rFonts w:asciiTheme="minorHAnsi" w:hAnsiTheme="minorHAnsi"/>
        </w:rPr>
        <w:lastRenderedPageBreak/>
        <w:t xml:space="preserve">bertujuan agar semua lapisan masyarakat, baik laki-laki maupun perempuan, bisa mengenyam pendidikan secara berkualitas. </w:t>
      </w:r>
    </w:p>
    <w:p>
      <w:pPr>
        <w:spacing w:after="0" w:line="360" w:lineRule="auto"/>
        <w:ind w:left="284" w:firstLine="567"/>
        <w:jc w:val="both"/>
        <w:rPr>
          <w:rFonts w:cs="Calibri"/>
          <w:sz w:val="20"/>
          <w:szCs w:val="20"/>
        </w:rPr>
      </w:pPr>
      <w:r>
        <w:rPr>
          <w:rFonts w:cs="Calibri"/>
          <w:sz w:val="20"/>
          <w:szCs w:val="20"/>
        </w:rPr>
        <w:t xml:space="preserve">Seperti tercantum dalam Pembukaan UUD 1945 bahwa tujuan pembangunan nasional antara lain adalah mencerdaskan kehidupan bangsa, hal ini dijabarkan lebih lanjut di dalam pasal 31 UUD 1945 bahwa “tiap-tiap warga negara berhak mendapat pengajaran”. Guna mencapai tujuan pembangunan nasional tersebut, maka dalam Undang-undang Nomor 20 tahun 2013 tentang Sistem Pendidikan Nasional ditegaskan bahwa sistem pendidikan nasional harus mampu menjamin pemerataan kesempatan pendidikan, peningkatan mutu serta relevansi dan efisiensi manajemen pendidikan untuk menghadapi tantangan sesuai dengan tuntutan perubahan kehidupan lokal, nasional, dan global, sehingga perlu dilakukan pembaharuan pendidikan secara terencana, terarah, dan berkesinambungan. Kesempatan memperoleh pendidikan yang semakin merata di antara laki-laki dan perempuan menyebabkan kesenjangan kualitas gender semakin mengecil. Dewasa ini, semakin banyak perempuan yang telah mampu mensejajarkan diri dengan kaum laki-laki dalam berbagai bidang. Bahkan tak jarang seorang ibu yang aktivitas kesehariannya mengurus rumah tangga memiliki basis pendidikan yang tinggi. Tentu saja hal ini sangat positif bagi keberlangsungan generasi mendatang, karena seorang ibu rumah tangga yang notabene sehari-harinya sangat lekat dengan anak-anaknya, akan sangat menentukan kualitas pendidikan yang diberikan kepada anak-anaknya. Dengan demikian, pendidikan perempuan sangat berpengaruh terhadap keberhasilan pembangunan nasional. Kemampuan perempuan perlu terus dikembangkan atau ditingkatkan guna </w:t>
      </w:r>
      <w:r>
        <w:rPr>
          <w:rFonts w:cs="Calibri"/>
          <w:sz w:val="20"/>
          <w:szCs w:val="20"/>
        </w:rPr>
        <w:lastRenderedPageBreak/>
        <w:t>memperbesar peranan dan tanggung jawabnya dalam pembangunan nasional. Dengan upaya peningkatan pengetahuan dan keterampilannya, kesempatan mereka untuk mengambil peran dalam mengisi pembangunan akan semakin luas.</w:t>
      </w:r>
    </w:p>
    <w:p>
      <w:pPr>
        <w:spacing w:after="0" w:line="360" w:lineRule="auto"/>
        <w:ind w:left="284" w:firstLine="567"/>
        <w:jc w:val="both"/>
        <w:rPr>
          <w:rFonts w:cs="Calibri"/>
          <w:sz w:val="20"/>
          <w:szCs w:val="20"/>
        </w:rPr>
      </w:pPr>
      <w:r>
        <w:rPr>
          <w:rFonts w:cs="Calibri"/>
          <w:sz w:val="20"/>
          <w:szCs w:val="20"/>
        </w:rPr>
        <w:t>Upaya peningkatan peranan perempuan dalam kesetaraan gender hanya dapat dicapai jika perempuan memiliki akses yang baik pada pendidikan dan sumber informasi lain. Dengan pendidikan yang memadai, seseorang akan memiliki wawasan dan penguasaan ilmu pengetahuan serta teknologi yang lebih baik sehingga lebih mampu untuk melihat dan memanfaatkan setiap peluang yang ada dalam meningkatkan kesejahteraan hidupnya.</w:t>
      </w:r>
    </w:p>
    <w:p>
      <w:pPr>
        <w:spacing w:after="0" w:line="360" w:lineRule="auto"/>
        <w:ind w:left="284" w:firstLine="567"/>
        <w:jc w:val="both"/>
        <w:rPr>
          <w:rFonts w:cs="Calibri"/>
          <w:sz w:val="20"/>
          <w:szCs w:val="20"/>
        </w:rPr>
      </w:pPr>
    </w:p>
    <w:p>
      <w:pPr>
        <w:pStyle w:val="Heading2"/>
        <w:numPr>
          <w:ilvl w:val="0"/>
          <w:numId w:val="0"/>
        </w:numPr>
        <w:ind w:left="851" w:hanging="567"/>
        <w:rPr>
          <w:rFonts w:asciiTheme="minorHAnsi" w:hAnsiTheme="minorHAnsi" w:cstheme="minorHAnsi"/>
          <w:sz w:val="20"/>
          <w:szCs w:val="20"/>
          <w:lang w:val="en-US"/>
        </w:rPr>
      </w:pPr>
      <w:bookmarkStart w:id="48" w:name="_Toc118715982"/>
      <w:r>
        <w:rPr>
          <w:rFonts w:asciiTheme="minorHAnsi" w:hAnsiTheme="minorHAnsi" w:cstheme="minorHAnsi"/>
          <w:sz w:val="20"/>
          <w:szCs w:val="20"/>
          <w:lang w:val="en-US"/>
        </w:rPr>
        <w:t>4.1</w:t>
      </w:r>
      <w:r>
        <w:rPr>
          <w:rFonts w:asciiTheme="minorHAnsi" w:hAnsiTheme="minorHAnsi" w:cstheme="minorHAnsi"/>
          <w:sz w:val="20"/>
          <w:szCs w:val="20"/>
          <w:lang w:val="en-US"/>
        </w:rPr>
        <w:tab/>
        <w:t>Angka Partisipasi Kasar (APK)</w:t>
      </w:r>
      <w:bookmarkEnd w:id="48"/>
    </w:p>
    <w:p>
      <w:pPr>
        <w:spacing w:after="0" w:line="360" w:lineRule="auto"/>
        <w:ind w:left="284" w:firstLine="567"/>
        <w:jc w:val="both"/>
        <w:rPr>
          <w:rFonts w:cs="Arial"/>
          <w:sz w:val="20"/>
          <w:szCs w:val="20"/>
        </w:rPr>
      </w:pPr>
      <w:r>
        <w:rPr>
          <w:rFonts w:cs="Arial"/>
          <w:sz w:val="20"/>
          <w:szCs w:val="20"/>
        </w:rPr>
        <w:t>Angka Partisipasi Kasar (APK), menunjukkkan partisipasi penduduk yang sedang mengenyam pendidikan sesuai dengan jenjang pendidikannya. Angka Partisipasi Kasar (APK) merupakan persentase jumlah penduduk yang sedang bersekolah pada suatu jenjang pendidikan (berapapun usianya) terhadap jumlah penduduk usia sekolah yang sesuai dengan jenjang pendidikan tersebut. APK hanya memotret banyaknya penduduk yang sedang bersekolah pada jenjang pendidikan tertentu tanpa memperhatikan ketepatan usianya.</w:t>
      </w:r>
    </w:p>
    <w:p>
      <w:pPr>
        <w:spacing w:after="0" w:line="360" w:lineRule="auto"/>
        <w:ind w:left="284" w:firstLine="567"/>
        <w:jc w:val="both"/>
        <w:rPr>
          <w:rFonts w:cs="Arial"/>
          <w:b/>
          <w:i/>
          <w:sz w:val="20"/>
          <w:szCs w:val="20"/>
        </w:rPr>
      </w:pPr>
      <w:r>
        <w:rPr>
          <w:rFonts w:cs="Arial"/>
          <w:sz w:val="20"/>
          <w:szCs w:val="20"/>
        </w:rPr>
        <w:t xml:space="preserve">APK digunakan untuk mengukur keberhasilan program pembangunan pendidikan yang diselenggarakan dalam rangka memperluas kesempatan bagi penduduk untuk mengenyam pendidikan. APK merupakan indikator </w:t>
      </w:r>
      <w:r>
        <w:rPr>
          <w:rFonts w:cs="Arial"/>
          <w:sz w:val="20"/>
          <w:szCs w:val="20"/>
        </w:rPr>
        <w:lastRenderedPageBreak/>
        <w:t>yang paling sederhana untuk mengukur daya serap penduduk usia sekolah di masing-masing jenjang pendidikan.</w:t>
      </w:r>
      <w:r>
        <w:rPr>
          <w:rFonts w:cs="Arial"/>
          <w:b/>
          <w:i/>
          <w:sz w:val="20"/>
          <w:szCs w:val="20"/>
        </w:rPr>
        <w:t xml:space="preserve"> </w:t>
      </w:r>
    </w:p>
    <w:p>
      <w:pPr>
        <w:spacing w:after="0" w:line="360" w:lineRule="auto"/>
        <w:ind w:left="284" w:firstLine="567"/>
        <w:jc w:val="both"/>
        <w:rPr>
          <w:rFonts w:cs="Calibri"/>
          <w:b/>
          <w:bCs/>
          <w:sz w:val="20"/>
          <w:szCs w:val="20"/>
        </w:rPr>
      </w:pPr>
      <w:r>
        <w:rPr>
          <w:rFonts w:cs="Arial"/>
          <w:sz w:val="20"/>
          <w:szCs w:val="20"/>
        </w:rPr>
        <w:t xml:space="preserve">Nilai APK bisa lebih dari 100 persen, hal ini disebabkan karena populasi murid yang bersekolah pada suatu jenjang pendidikan mencakup anak berusia di luar batas usia sekolah pada jenjang pendidikan yang bersangkutan. Sebagai contoh, banyak anak-anak usia di atas 12 tahun, tetapi masih sekolah di tingkat SD. Pun demikian halnya, ada sebagian anak belum berusia 7 tahun tetapi sudah bersekolah SD. </w:t>
      </w:r>
    </w:p>
    <w:p>
      <w:pPr>
        <w:spacing w:after="0" w:line="360" w:lineRule="auto"/>
        <w:ind w:left="284" w:firstLine="567"/>
        <w:jc w:val="both"/>
        <w:rPr>
          <w:rFonts w:cs="Arial"/>
          <w:sz w:val="20"/>
          <w:szCs w:val="20"/>
        </w:rPr>
      </w:pPr>
      <w:r>
        <w:rPr>
          <w:rFonts w:cs="Arial"/>
          <w:sz w:val="20"/>
          <w:szCs w:val="20"/>
        </w:rPr>
        <w:t>Adanya siswa dengan usia lebih tua dibanding usia standar di jenjang pendidikan tertentu menunjukkan terjadinya kasus tinggal kelas atau terlambat masuk sekolah. Sebaliknya, siswa yang lebih muda dibanding usia standar yang duduk di suatu jenjang pendidikan menunjukkan siswa tersebut masuk sekolah di usia yang lebih muda.</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tabs>
          <w:tab w:val="left" w:pos="1418"/>
        </w:tabs>
        <w:ind w:left="1418" w:hanging="1134"/>
        <w:jc w:val="both"/>
        <w:rPr>
          <w:rFonts w:cs="Arial"/>
          <w:b/>
          <w:bCs/>
          <w:sz w:val="20"/>
          <w:szCs w:val="20"/>
        </w:rPr>
      </w:pPr>
      <w:bookmarkStart w:id="49" w:name="_Toc117519520"/>
      <w:r>
        <w:rPr>
          <w:b/>
          <w:bCs/>
          <w:sz w:val="20"/>
          <w:szCs w:val="20"/>
        </w:rPr>
        <w:t xml:space="preserve">Tabel 4. </w:t>
      </w:r>
      <w:r>
        <w:rPr>
          <w:b/>
          <w:bCs/>
          <w:sz w:val="20"/>
          <w:szCs w:val="20"/>
        </w:rPr>
        <w:fldChar w:fldCharType="begin"/>
      </w:r>
      <w:r>
        <w:rPr>
          <w:b/>
          <w:bCs/>
          <w:sz w:val="20"/>
          <w:szCs w:val="20"/>
        </w:rPr>
        <w:instrText xml:space="preserve"> SEQ Tabel_4. \* ARABIC </w:instrText>
      </w:r>
      <w:r>
        <w:rPr>
          <w:b/>
          <w:bCs/>
          <w:sz w:val="20"/>
          <w:szCs w:val="20"/>
        </w:rPr>
        <w:fldChar w:fldCharType="separate"/>
      </w:r>
      <w:r>
        <w:rPr>
          <w:b/>
          <w:bCs/>
          <w:noProof/>
          <w:sz w:val="20"/>
          <w:szCs w:val="20"/>
        </w:rPr>
        <w:t>1</w:t>
      </w:r>
      <w:r>
        <w:rPr>
          <w:b/>
          <w:bCs/>
          <w:sz w:val="20"/>
          <w:szCs w:val="20"/>
        </w:rPr>
        <w:fldChar w:fldCharType="end"/>
      </w:r>
      <w:r>
        <w:rPr>
          <w:b/>
          <w:bCs/>
          <w:sz w:val="20"/>
          <w:szCs w:val="20"/>
        </w:rPr>
        <w:tab/>
      </w:r>
      <w:r>
        <w:rPr>
          <w:b/>
          <w:bCs/>
          <w:sz w:val="20"/>
          <w:szCs w:val="20"/>
        </w:rPr>
        <w:tab/>
      </w:r>
      <w:r>
        <w:rPr>
          <w:rFonts w:cs="Arial"/>
          <w:b/>
          <w:bCs/>
          <w:sz w:val="20"/>
          <w:szCs w:val="20"/>
        </w:rPr>
        <w:t>Angka Partisipasi Kasar (APK) Sekolah Dasar (SD) Menurut Kabupaten/Kota dan Jenis Kelamin, 2019-2021</w:t>
      </w:r>
      <w:bookmarkEnd w:id="49"/>
    </w:p>
    <w:tbl>
      <w:tblPr>
        <w:tblW w:w="624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419"/>
        <w:gridCol w:w="804"/>
        <w:gridCol w:w="754"/>
        <w:gridCol w:w="854"/>
        <w:gridCol w:w="803"/>
        <w:gridCol w:w="803"/>
        <w:gridCol w:w="804"/>
      </w:tblGrid>
      <w:tr>
        <w:trPr>
          <w:cantSplit/>
          <w:trHeight w:val="397"/>
        </w:trPr>
        <w:tc>
          <w:tcPr>
            <w:tcW w:w="1419" w:type="dxa"/>
            <w:vMerge w:val="restart"/>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Kabupaten/Kota</w:t>
            </w:r>
          </w:p>
        </w:tc>
        <w:tc>
          <w:tcPr>
            <w:tcW w:w="2412"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Laki-laki</w:t>
            </w:r>
          </w:p>
        </w:tc>
        <w:tc>
          <w:tcPr>
            <w:tcW w:w="2410"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Perempuan</w:t>
            </w:r>
          </w:p>
        </w:tc>
      </w:tr>
      <w:tr>
        <w:trPr>
          <w:cantSplit/>
          <w:trHeight w:val="397"/>
        </w:trPr>
        <w:tc>
          <w:tcPr>
            <w:tcW w:w="1419" w:type="dxa"/>
            <w:vMerge/>
            <w:shd w:val="clear" w:color="auto" w:fill="38003D"/>
            <w:vAlign w:val="center"/>
            <w:hideMark/>
          </w:tcPr>
          <w:p>
            <w:pPr>
              <w:spacing w:after="0" w:line="240" w:lineRule="auto"/>
              <w:rPr>
                <w:b/>
                <w:bCs/>
                <w:snapToGrid w:val="0"/>
                <w:color w:val="FFFFFF" w:themeColor="background1"/>
                <w:sz w:val="18"/>
                <w:szCs w:val="18"/>
              </w:rPr>
            </w:pPr>
          </w:p>
        </w:tc>
        <w:tc>
          <w:tcPr>
            <w:tcW w:w="804" w:type="dxa"/>
            <w:shd w:val="clear" w:color="auto" w:fill="38003D"/>
            <w:vAlign w:val="center"/>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2019</w:t>
            </w:r>
          </w:p>
        </w:tc>
        <w:tc>
          <w:tcPr>
            <w:tcW w:w="754" w:type="dxa"/>
            <w:shd w:val="clear" w:color="auto" w:fill="38003D"/>
            <w:vAlign w:val="center"/>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2020</w:t>
            </w:r>
          </w:p>
        </w:tc>
        <w:tc>
          <w:tcPr>
            <w:tcW w:w="854" w:type="dxa"/>
            <w:shd w:val="clear" w:color="auto" w:fill="38003D"/>
            <w:vAlign w:val="center"/>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2021</w:t>
            </w:r>
          </w:p>
        </w:tc>
        <w:tc>
          <w:tcPr>
            <w:tcW w:w="803" w:type="dxa"/>
            <w:shd w:val="clear" w:color="auto" w:fill="38003D"/>
            <w:vAlign w:val="center"/>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2019</w:t>
            </w:r>
          </w:p>
        </w:tc>
        <w:tc>
          <w:tcPr>
            <w:tcW w:w="803" w:type="dxa"/>
            <w:shd w:val="clear" w:color="auto" w:fill="38003D"/>
            <w:vAlign w:val="center"/>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2020</w:t>
            </w:r>
          </w:p>
        </w:tc>
        <w:tc>
          <w:tcPr>
            <w:tcW w:w="804" w:type="dxa"/>
            <w:shd w:val="clear" w:color="auto" w:fill="38003D"/>
            <w:vAlign w:val="center"/>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2021</w:t>
            </w:r>
          </w:p>
        </w:tc>
      </w:tr>
      <w:tr>
        <w:trPr>
          <w:cantSplit/>
          <w:trHeight w:val="227"/>
        </w:trPr>
        <w:tc>
          <w:tcPr>
            <w:tcW w:w="1419"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(1)</w:t>
            </w:r>
          </w:p>
        </w:tc>
        <w:tc>
          <w:tcPr>
            <w:tcW w:w="804"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(2)</w:t>
            </w:r>
          </w:p>
        </w:tc>
        <w:tc>
          <w:tcPr>
            <w:tcW w:w="754"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(3)</w:t>
            </w:r>
          </w:p>
        </w:tc>
        <w:tc>
          <w:tcPr>
            <w:tcW w:w="854"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(4)</w:t>
            </w:r>
          </w:p>
        </w:tc>
        <w:tc>
          <w:tcPr>
            <w:tcW w:w="803"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(5)</w:t>
            </w:r>
          </w:p>
        </w:tc>
        <w:tc>
          <w:tcPr>
            <w:tcW w:w="803"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(6)</w:t>
            </w:r>
          </w:p>
        </w:tc>
        <w:tc>
          <w:tcPr>
            <w:tcW w:w="804"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(7)</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Kotawaringin Barat</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105,63</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106,78</w:t>
            </w:r>
          </w:p>
        </w:tc>
        <w:tc>
          <w:tcPr>
            <w:tcW w:w="8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104,90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105,20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101,39</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104,52</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Kotawaringin Timur</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108,85</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105,68</w:t>
            </w:r>
          </w:p>
        </w:tc>
        <w:tc>
          <w:tcPr>
            <w:tcW w:w="8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106,24</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104,14</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103,44</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101,99</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Kapuas</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106,50</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111,73</w:t>
            </w:r>
          </w:p>
        </w:tc>
        <w:tc>
          <w:tcPr>
            <w:tcW w:w="8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110,00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119,22</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109,80</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112,09</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Barito Selatan</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116,37</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108,91</w:t>
            </w:r>
          </w:p>
        </w:tc>
        <w:tc>
          <w:tcPr>
            <w:tcW w:w="8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113,20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108,43</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112,19</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111,18</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Barito Utara</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117,16</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108,55</w:t>
            </w:r>
          </w:p>
        </w:tc>
        <w:tc>
          <w:tcPr>
            <w:tcW w:w="8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110,64</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103,71</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108,63</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104,52</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Sukamara</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105,30</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102,02</w:t>
            </w:r>
          </w:p>
        </w:tc>
        <w:tc>
          <w:tcPr>
            <w:tcW w:w="8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98,89</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103,74</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103,35</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104,41</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Lamandau</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106,64</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105,23</w:t>
            </w:r>
          </w:p>
        </w:tc>
        <w:tc>
          <w:tcPr>
            <w:tcW w:w="8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107,23</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110,20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107,67</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103,90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Seruyan</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111,14</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106,55</w:t>
            </w:r>
          </w:p>
        </w:tc>
        <w:tc>
          <w:tcPr>
            <w:tcW w:w="8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111,66</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114,78</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114,70</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110,24</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Katingan</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120,18</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113,66</w:t>
            </w:r>
          </w:p>
        </w:tc>
        <w:tc>
          <w:tcPr>
            <w:tcW w:w="8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114,11</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110,49</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114,54</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111,34</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Pulang Pisau</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112,66</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111,51</w:t>
            </w:r>
          </w:p>
        </w:tc>
        <w:tc>
          <w:tcPr>
            <w:tcW w:w="8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108,00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109,54</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107,73</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109,51</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Gunung Mas</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107,80</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114,93</w:t>
            </w:r>
          </w:p>
        </w:tc>
        <w:tc>
          <w:tcPr>
            <w:tcW w:w="8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114,62</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121,23</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108,64</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Barito Timur</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112,43</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106,10</w:t>
            </w:r>
          </w:p>
        </w:tc>
        <w:tc>
          <w:tcPr>
            <w:tcW w:w="8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108,79</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108,09</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111,41</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107,53</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Murung Raya</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110,74</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111,45</w:t>
            </w:r>
          </w:p>
        </w:tc>
        <w:tc>
          <w:tcPr>
            <w:tcW w:w="8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110,71</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114,53</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110,38</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108,54</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Palangka Raya</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114,13</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109,58</w:t>
            </w:r>
          </w:p>
        </w:tc>
        <w:tc>
          <w:tcPr>
            <w:tcW w:w="8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104,99</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107,74</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107,88</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110,98</w:t>
            </w:r>
          </w:p>
        </w:tc>
      </w:tr>
      <w:tr>
        <w:trPr>
          <w:cantSplit/>
          <w:trHeight w:val="397"/>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b/>
                <w:sz w:val="18"/>
                <w:szCs w:val="18"/>
              </w:rPr>
            </w:pPr>
            <w:r>
              <w:rPr>
                <w:rFonts w:cstheme="minorHAnsi"/>
                <w:b/>
                <w:sz w:val="18"/>
                <w:szCs w:val="18"/>
              </w:rPr>
              <w:t>Kalimantan Tengah</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110,43</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108,77</w:t>
            </w:r>
          </w:p>
        </w:tc>
        <w:tc>
          <w:tcPr>
            <w:tcW w:w="8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108,64</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109,66</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108,19</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107,78</w:t>
            </w:r>
          </w:p>
        </w:tc>
      </w:tr>
    </w:tbl>
    <w:p>
      <w:pPr>
        <w:ind w:left="284"/>
        <w:jc w:val="both"/>
        <w:rPr>
          <w:rFonts w:cs="Calibri"/>
          <w:b/>
          <w:i/>
          <w:sz w:val="18"/>
          <w:szCs w:val="18"/>
        </w:rPr>
      </w:pPr>
      <w:r>
        <w:rPr>
          <w:rFonts w:cs="Arial"/>
          <w:i/>
          <w:sz w:val="18"/>
          <w:szCs w:val="18"/>
        </w:rPr>
        <w:t>Sumber: BPS, Susenas 2019-2021</w:t>
      </w:r>
    </w:p>
    <w:p>
      <w:pPr>
        <w:spacing w:after="0" w:line="360" w:lineRule="auto"/>
        <w:ind w:left="284" w:firstLine="425"/>
        <w:jc w:val="both"/>
        <w:rPr>
          <w:rFonts w:cs="Arial"/>
          <w:sz w:val="20"/>
          <w:szCs w:val="20"/>
        </w:rPr>
      </w:pPr>
      <w:r>
        <w:rPr>
          <w:rFonts w:cs="Calibri"/>
          <w:bCs/>
          <w:sz w:val="20"/>
          <w:szCs w:val="20"/>
        </w:rPr>
        <w:t xml:space="preserve">Dari Tabel 4.1 terlihat bahwa APK SD baik laki-laki maupun perempuan pada seluruh kabupaten/kota di Kalimantan Tengah di atas 100 persen. </w:t>
      </w:r>
      <w:r>
        <w:rPr>
          <w:rFonts w:cs="Arial"/>
          <w:sz w:val="20"/>
          <w:szCs w:val="20"/>
        </w:rPr>
        <w:lastRenderedPageBreak/>
        <w:t>Kondisi ini menunjukkan bahwa murid SD selain mencakup anak usia 7-12 tahun, juga mencakup anak yang berusia kurang dari 7 tahun dan ada juga anak berusia lebih dari 12 tahun. Kenyataan ini menunjukkan bahwa terdapat anak yang tinggal kelas, terlambat masuk SD atau sebaliknya terlalu dini bersekolah di SD.</w:t>
      </w:r>
    </w:p>
    <w:p>
      <w:pPr>
        <w:spacing w:after="0" w:line="360" w:lineRule="auto"/>
        <w:ind w:left="284" w:firstLine="436"/>
        <w:jc w:val="both"/>
        <w:rPr>
          <w:rFonts w:cs="Calibri"/>
          <w:bCs/>
          <w:sz w:val="20"/>
          <w:szCs w:val="20"/>
        </w:rPr>
      </w:pPr>
      <w:r>
        <w:rPr>
          <w:rFonts w:cs="Arial"/>
          <w:sz w:val="20"/>
          <w:szCs w:val="20"/>
        </w:rPr>
        <w:t xml:space="preserve">Apabila dibandingkan antara </w:t>
      </w:r>
      <w:r>
        <w:rPr>
          <w:rFonts w:cs="Calibri"/>
          <w:bCs/>
          <w:sz w:val="20"/>
          <w:szCs w:val="20"/>
        </w:rPr>
        <w:t>laki-laki dan perempuan, APK SD tahun 2021 masih lebih didominasi laki-laki daripada perempuan. Dari 14 kabupaten/kota di Kalimantan Tengah, hanya 4 kabupaten yang memiliki nilai APK SD perempuan lebih tinggi daripada laki-laki, yakni Kapuas, Sukamara, Pulang Pisau, dan Palangka Raya. Sedangkan 10 kabupaten lainnya dan di tingkat provinsi masih lebih tinggi laki-laki daripada perempuan.</w:t>
      </w: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spacing w:after="0" w:line="360" w:lineRule="auto"/>
        <w:ind w:left="284" w:firstLine="436"/>
        <w:jc w:val="both"/>
        <w:rPr>
          <w:rFonts w:cs="Calibri"/>
          <w:bCs/>
          <w:sz w:val="20"/>
          <w:szCs w:val="20"/>
        </w:rPr>
      </w:pPr>
    </w:p>
    <w:p>
      <w:pPr>
        <w:pStyle w:val="Caption"/>
        <w:ind w:left="1418" w:hanging="1134"/>
        <w:jc w:val="both"/>
        <w:rPr>
          <w:b/>
          <w:bCs/>
          <w:i w:val="0"/>
          <w:iCs w:val="0"/>
          <w:color w:val="auto"/>
          <w:sz w:val="20"/>
          <w:szCs w:val="20"/>
          <w:lang w:val="en-US"/>
        </w:rPr>
      </w:pPr>
      <w:bookmarkStart w:id="50" w:name="_Toc117519521"/>
      <w:r>
        <w:rPr>
          <w:b/>
          <w:bCs/>
          <w:i w:val="0"/>
          <w:iCs w:val="0"/>
          <w:color w:val="auto"/>
          <w:sz w:val="20"/>
          <w:szCs w:val="20"/>
        </w:rPr>
        <w:lastRenderedPageBreak/>
        <w:t xml:space="preserve">Tabel 4. </w:t>
      </w:r>
      <w:r>
        <w:rPr>
          <w:b/>
          <w:bCs/>
          <w:i w:val="0"/>
          <w:iCs w:val="0"/>
          <w:color w:val="auto"/>
          <w:sz w:val="20"/>
          <w:szCs w:val="20"/>
        </w:rPr>
        <w:fldChar w:fldCharType="begin"/>
      </w:r>
      <w:r>
        <w:rPr>
          <w:b/>
          <w:bCs/>
          <w:i w:val="0"/>
          <w:iCs w:val="0"/>
          <w:color w:val="auto"/>
          <w:sz w:val="20"/>
          <w:szCs w:val="20"/>
        </w:rPr>
        <w:instrText xml:space="preserve"> SEQ Tabel_4. \* ARABIC </w:instrText>
      </w:r>
      <w:r>
        <w:rPr>
          <w:b/>
          <w:bCs/>
          <w:i w:val="0"/>
          <w:iCs w:val="0"/>
          <w:color w:val="auto"/>
          <w:sz w:val="20"/>
          <w:szCs w:val="20"/>
        </w:rPr>
        <w:fldChar w:fldCharType="separate"/>
      </w:r>
      <w:r>
        <w:rPr>
          <w:b/>
          <w:bCs/>
          <w:i w:val="0"/>
          <w:iCs w:val="0"/>
          <w:noProof/>
          <w:color w:val="auto"/>
          <w:sz w:val="20"/>
          <w:szCs w:val="20"/>
        </w:rPr>
        <w:t>2</w:t>
      </w:r>
      <w:r>
        <w:rPr>
          <w:b/>
          <w:bCs/>
          <w:i w:val="0"/>
          <w:iCs w:val="0"/>
          <w:color w:val="auto"/>
          <w:sz w:val="20"/>
          <w:szCs w:val="20"/>
        </w:rPr>
        <w:fldChar w:fldCharType="end"/>
      </w:r>
      <w:r>
        <w:rPr>
          <w:b/>
          <w:bCs/>
          <w:i w:val="0"/>
          <w:iCs w:val="0"/>
          <w:color w:val="auto"/>
          <w:sz w:val="20"/>
          <w:szCs w:val="20"/>
        </w:rPr>
        <w:tab/>
      </w:r>
      <w:r>
        <w:rPr>
          <w:b/>
          <w:bCs/>
          <w:i w:val="0"/>
          <w:iCs w:val="0"/>
          <w:color w:val="auto"/>
          <w:sz w:val="20"/>
          <w:szCs w:val="20"/>
        </w:rPr>
        <w:tab/>
      </w:r>
      <w:r>
        <w:rPr>
          <w:rFonts w:cs="Arial"/>
          <w:b/>
          <w:bCs/>
          <w:i w:val="0"/>
          <w:iCs w:val="0"/>
          <w:color w:val="auto"/>
          <w:sz w:val="20"/>
          <w:szCs w:val="20"/>
        </w:rPr>
        <w:t>Angka Partisipasi Kasar (APK) Sekolah Menengah Pertama (SMP) Menurut Kabupaten/Kota dan Jenis Kelamin, 2019-2021</w:t>
      </w:r>
      <w:bookmarkEnd w:id="50"/>
    </w:p>
    <w:tbl>
      <w:tblPr>
        <w:tblW w:w="5953"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57"/>
        <w:gridCol w:w="755"/>
        <w:gridCol w:w="755"/>
        <w:gridCol w:w="756"/>
        <w:gridCol w:w="756"/>
        <w:gridCol w:w="666"/>
        <w:gridCol w:w="708"/>
      </w:tblGrid>
      <w:tr>
        <w:trPr>
          <w:cantSplit/>
          <w:trHeight w:val="397"/>
        </w:trPr>
        <w:tc>
          <w:tcPr>
            <w:tcW w:w="1557" w:type="dxa"/>
            <w:vMerge w:val="restart"/>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Kabupaten/Kota</w:t>
            </w:r>
          </w:p>
        </w:tc>
        <w:tc>
          <w:tcPr>
            <w:tcW w:w="2266"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Laki-laki</w:t>
            </w:r>
          </w:p>
        </w:tc>
        <w:tc>
          <w:tcPr>
            <w:tcW w:w="2130"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Perempuan</w:t>
            </w:r>
          </w:p>
        </w:tc>
      </w:tr>
      <w:tr>
        <w:trPr>
          <w:cantSplit/>
          <w:trHeight w:val="397"/>
        </w:trPr>
        <w:tc>
          <w:tcPr>
            <w:tcW w:w="1557" w:type="dxa"/>
            <w:vMerge/>
            <w:shd w:val="clear" w:color="auto" w:fill="38003D"/>
            <w:vAlign w:val="center"/>
            <w:hideMark/>
          </w:tcPr>
          <w:p>
            <w:pPr>
              <w:spacing w:after="0" w:line="240" w:lineRule="auto"/>
              <w:rPr>
                <w:b/>
                <w:bCs/>
                <w:snapToGrid w:val="0"/>
                <w:color w:val="FFFFFF" w:themeColor="background1"/>
                <w:sz w:val="18"/>
                <w:szCs w:val="18"/>
              </w:rPr>
            </w:pPr>
          </w:p>
        </w:tc>
        <w:tc>
          <w:tcPr>
            <w:tcW w:w="755" w:type="dxa"/>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2019</w:t>
            </w:r>
          </w:p>
        </w:tc>
        <w:tc>
          <w:tcPr>
            <w:tcW w:w="755" w:type="dxa"/>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2020</w:t>
            </w:r>
          </w:p>
        </w:tc>
        <w:tc>
          <w:tcPr>
            <w:tcW w:w="756" w:type="dxa"/>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2021</w:t>
            </w:r>
          </w:p>
        </w:tc>
        <w:tc>
          <w:tcPr>
            <w:tcW w:w="756" w:type="dxa"/>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2019</w:t>
            </w:r>
          </w:p>
        </w:tc>
        <w:tc>
          <w:tcPr>
            <w:tcW w:w="666" w:type="dxa"/>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2020</w:t>
            </w:r>
          </w:p>
        </w:tc>
        <w:tc>
          <w:tcPr>
            <w:tcW w:w="708" w:type="dxa"/>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2021</w:t>
            </w:r>
          </w:p>
        </w:tc>
      </w:tr>
      <w:tr>
        <w:trPr>
          <w:cantSplit/>
          <w:trHeight w:val="227"/>
        </w:trPr>
        <w:tc>
          <w:tcPr>
            <w:tcW w:w="1557"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(1)</w:t>
            </w:r>
          </w:p>
        </w:tc>
        <w:tc>
          <w:tcPr>
            <w:tcW w:w="755"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(2)</w:t>
            </w:r>
          </w:p>
        </w:tc>
        <w:tc>
          <w:tcPr>
            <w:tcW w:w="755"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(3)</w:t>
            </w:r>
          </w:p>
        </w:tc>
        <w:tc>
          <w:tcPr>
            <w:tcW w:w="756"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(4)</w:t>
            </w:r>
          </w:p>
        </w:tc>
        <w:tc>
          <w:tcPr>
            <w:tcW w:w="756"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(5)</w:t>
            </w:r>
          </w:p>
        </w:tc>
        <w:tc>
          <w:tcPr>
            <w:tcW w:w="666"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(6)</w:t>
            </w:r>
          </w:p>
        </w:tc>
        <w:tc>
          <w:tcPr>
            <w:tcW w:w="708"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(7)</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77,46</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85,25</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76,29</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90,31</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85,23</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95,62</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82,09</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101,64</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93,46</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93,40</w:t>
            </w:r>
          </w:p>
        </w:tc>
        <w:tc>
          <w:tcPr>
            <w:tcW w:w="6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84,18</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92,74</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94,77</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95,39</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102,93</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82,54</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83,16</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80,30</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101,96</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108,99</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100,79</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110,13</w:t>
            </w:r>
          </w:p>
        </w:tc>
        <w:tc>
          <w:tcPr>
            <w:tcW w:w="6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100,26</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104,28</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89,29</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84,39</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98,15</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90,72</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106,04</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92,12</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84,72</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81,27</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111,00</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98,43</w:t>
            </w:r>
          </w:p>
        </w:tc>
        <w:tc>
          <w:tcPr>
            <w:tcW w:w="6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105,35</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83,93</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105,48</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101,94</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104,23</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106,15</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106,20</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99,81</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76,86</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88,04</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88,12</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107,55</w:t>
            </w:r>
          </w:p>
        </w:tc>
        <w:tc>
          <w:tcPr>
            <w:tcW w:w="6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92,68</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96,48</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75,89</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76,27</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69,68</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79,73</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80,84</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90,23</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97,44</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100,59</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91,35</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87,12</w:t>
            </w:r>
          </w:p>
        </w:tc>
        <w:tc>
          <w:tcPr>
            <w:tcW w:w="6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85,34</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92,15</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96,90</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90,96</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88,64</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78,09</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85,76</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89,77</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83,58</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86,69</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87,39</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74,47</w:t>
            </w:r>
          </w:p>
        </w:tc>
        <w:tc>
          <w:tcPr>
            <w:tcW w:w="6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78,96</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77,06</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91,41</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109,65</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97,91</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94,66</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88,91</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95,58</w:t>
            </w:r>
          </w:p>
        </w:tc>
      </w:tr>
      <w:tr>
        <w:trPr>
          <w:cantSplit/>
          <w:trHeight w:val="340"/>
        </w:trPr>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89,61</w:t>
            </w:r>
          </w:p>
        </w:tc>
        <w:tc>
          <w:tcPr>
            <w:tcW w:w="75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88,15</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97,98</w:t>
            </w:r>
          </w:p>
        </w:tc>
        <w:tc>
          <w:tcPr>
            <w:tcW w:w="7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87,49</w:t>
            </w:r>
          </w:p>
        </w:tc>
        <w:tc>
          <w:tcPr>
            <w:tcW w:w="6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93,35</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87,57</w:t>
            </w:r>
          </w:p>
        </w:tc>
      </w:tr>
      <w:tr>
        <w:trPr>
          <w:cantSplit/>
          <w:trHeight w:val="397"/>
        </w:trPr>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sz w:val="18"/>
                <w:szCs w:val="18"/>
              </w:rPr>
            </w:pPr>
            <w:r>
              <w:rPr>
                <w:rFonts w:cstheme="minorHAnsi"/>
                <w:b/>
                <w:bCs/>
                <w:sz w:val="18"/>
                <w:szCs w:val="18"/>
              </w:rPr>
              <w:t>87,50</w:t>
            </w:r>
          </w:p>
        </w:tc>
        <w:tc>
          <w:tcPr>
            <w:tcW w:w="7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92,62</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91,66</w:t>
            </w:r>
          </w:p>
        </w:tc>
        <w:tc>
          <w:tcPr>
            <w:tcW w:w="7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90,08</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88,51</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90,47</w:t>
            </w:r>
          </w:p>
        </w:tc>
      </w:tr>
    </w:tbl>
    <w:p>
      <w:pPr>
        <w:ind w:left="284"/>
        <w:jc w:val="both"/>
        <w:rPr>
          <w:rFonts w:cs="Calibri"/>
          <w:b/>
          <w:i/>
          <w:sz w:val="18"/>
          <w:szCs w:val="18"/>
        </w:rPr>
      </w:pPr>
      <w:r>
        <w:rPr>
          <w:rFonts w:cs="Arial"/>
          <w:i/>
          <w:sz w:val="18"/>
          <w:szCs w:val="18"/>
        </w:rPr>
        <w:t>Sumber: BPS, Susenas 2019-2021</w:t>
      </w:r>
    </w:p>
    <w:p>
      <w:pPr>
        <w:spacing w:line="360" w:lineRule="auto"/>
        <w:ind w:left="284" w:firstLine="567"/>
        <w:jc w:val="both"/>
        <w:rPr>
          <w:rFonts w:cs="Arial"/>
          <w:b/>
          <w:sz w:val="20"/>
          <w:szCs w:val="20"/>
        </w:rPr>
      </w:pPr>
      <w:r>
        <w:rPr>
          <w:rFonts w:cs="Calibri"/>
          <w:bCs/>
          <w:sz w:val="20"/>
          <w:szCs w:val="20"/>
        </w:rPr>
        <w:t xml:space="preserve">Kondisi yang sama ditunjukkan pada data APK SMP. Di tingkat provinsi dan di sebagian besar kabupaten/kota di Kalimantan Tengah, nilai APK SMP tahun 2021 lebih tinggi untuk laki-laki dibandingkan perempuan. </w:t>
      </w:r>
      <w:r>
        <w:rPr>
          <w:rFonts w:cs="Calibri"/>
          <w:bCs/>
          <w:sz w:val="20"/>
          <w:szCs w:val="20"/>
        </w:rPr>
        <w:lastRenderedPageBreak/>
        <w:t>Hanya ada enam kabupaten yang memiliki nilai APK SMP perempuan lebih tinggi daripada laki-laki yakni Kotawaringin Barat, Barito Selatan, Seruyan, Katingan, Pulang Pisau, dan Gunung Mas.</w:t>
      </w:r>
    </w:p>
    <w:p>
      <w:pPr>
        <w:ind w:left="1418" w:hanging="1134"/>
        <w:jc w:val="both"/>
        <w:rPr>
          <w:rFonts w:cs="Arial"/>
          <w:b/>
          <w:bCs/>
          <w:sz w:val="20"/>
          <w:szCs w:val="20"/>
        </w:rPr>
      </w:pPr>
      <w:bookmarkStart w:id="51" w:name="_Toc117519522"/>
      <w:r>
        <w:rPr>
          <w:b/>
          <w:bCs/>
        </w:rPr>
        <w:t xml:space="preserve">Tabel 4. </w:t>
      </w:r>
      <w:r>
        <w:rPr>
          <w:b/>
          <w:bCs/>
        </w:rPr>
        <w:fldChar w:fldCharType="begin"/>
      </w:r>
      <w:r>
        <w:rPr>
          <w:b/>
          <w:bCs/>
        </w:rPr>
        <w:instrText xml:space="preserve"> SEQ Tabel_4. \* ARABIC </w:instrText>
      </w:r>
      <w:r>
        <w:rPr>
          <w:b/>
          <w:bCs/>
        </w:rPr>
        <w:fldChar w:fldCharType="separate"/>
      </w:r>
      <w:r>
        <w:rPr>
          <w:b/>
          <w:bCs/>
          <w:noProof/>
        </w:rPr>
        <w:t>3</w:t>
      </w:r>
      <w:r>
        <w:rPr>
          <w:b/>
          <w:bCs/>
        </w:rPr>
        <w:fldChar w:fldCharType="end"/>
      </w:r>
      <w:r>
        <w:rPr>
          <w:b/>
          <w:bCs/>
        </w:rPr>
        <w:tab/>
      </w:r>
      <w:r>
        <w:rPr>
          <w:b/>
          <w:bCs/>
          <w:lang w:val="en-US"/>
        </w:rPr>
        <w:tab/>
      </w:r>
      <w:r>
        <w:rPr>
          <w:rFonts w:cs="Arial"/>
          <w:b/>
          <w:bCs/>
          <w:sz w:val="20"/>
          <w:szCs w:val="20"/>
        </w:rPr>
        <w:t>Angka Partisipasi Kasar (APK) Sekolah Menengah Atas (SMA) Menurut Kabupaten/Kota dan Jenis Kelamin, 2019-2021</w:t>
      </w:r>
      <w:bookmarkEnd w:id="51"/>
    </w:p>
    <w:tbl>
      <w:tblPr>
        <w:tblW w:w="609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701"/>
        <w:gridCol w:w="709"/>
        <w:gridCol w:w="631"/>
        <w:gridCol w:w="763"/>
        <w:gridCol w:w="762"/>
        <w:gridCol w:w="762"/>
        <w:gridCol w:w="763"/>
      </w:tblGrid>
      <w:tr>
        <w:trPr>
          <w:cantSplit/>
          <w:trHeight w:val="340"/>
        </w:trPr>
        <w:tc>
          <w:tcPr>
            <w:tcW w:w="1701" w:type="dxa"/>
            <w:vMerge w:val="restart"/>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Kabupaten/Kota</w:t>
            </w:r>
          </w:p>
        </w:tc>
        <w:tc>
          <w:tcPr>
            <w:tcW w:w="2103"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Laki-laki</w:t>
            </w:r>
          </w:p>
        </w:tc>
        <w:tc>
          <w:tcPr>
            <w:tcW w:w="2287" w:type="dxa"/>
            <w:gridSpan w:val="3"/>
            <w:shd w:val="clear" w:color="auto" w:fill="38003D"/>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Perempuan</w:t>
            </w:r>
          </w:p>
        </w:tc>
      </w:tr>
      <w:tr>
        <w:trPr>
          <w:cantSplit/>
          <w:trHeight w:val="340"/>
        </w:trPr>
        <w:tc>
          <w:tcPr>
            <w:tcW w:w="1701" w:type="dxa"/>
            <w:vMerge/>
            <w:shd w:val="clear" w:color="auto" w:fill="38003D"/>
            <w:vAlign w:val="center"/>
            <w:hideMark/>
          </w:tcPr>
          <w:p>
            <w:pPr>
              <w:spacing w:after="0" w:line="240" w:lineRule="auto"/>
              <w:rPr>
                <w:b/>
                <w:bCs/>
                <w:snapToGrid w:val="0"/>
                <w:color w:val="FFFFFF" w:themeColor="background1"/>
                <w:sz w:val="18"/>
                <w:szCs w:val="18"/>
              </w:rPr>
            </w:pPr>
          </w:p>
        </w:tc>
        <w:tc>
          <w:tcPr>
            <w:tcW w:w="709"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63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63"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c>
          <w:tcPr>
            <w:tcW w:w="762"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762"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63"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r>
      <w:tr>
        <w:trPr>
          <w:cantSplit/>
          <w:trHeight w:val="227"/>
        </w:trPr>
        <w:tc>
          <w:tcPr>
            <w:tcW w:w="1701"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(1)</w:t>
            </w:r>
          </w:p>
        </w:tc>
        <w:tc>
          <w:tcPr>
            <w:tcW w:w="709"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snapToGrid w:val="0"/>
                <w:color w:val="FFFFFF" w:themeColor="background1"/>
                <w:sz w:val="18"/>
                <w:szCs w:val="18"/>
              </w:rPr>
              <w:t>(2)</w:t>
            </w:r>
          </w:p>
        </w:tc>
        <w:tc>
          <w:tcPr>
            <w:tcW w:w="63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snapToGrid w:val="0"/>
                <w:color w:val="FFFFFF" w:themeColor="background1"/>
                <w:sz w:val="18"/>
                <w:szCs w:val="18"/>
              </w:rPr>
              <w:t>(3)</w:t>
            </w:r>
          </w:p>
        </w:tc>
        <w:tc>
          <w:tcPr>
            <w:tcW w:w="763"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snapToGrid w:val="0"/>
                <w:color w:val="FFFFFF" w:themeColor="background1"/>
                <w:sz w:val="18"/>
                <w:szCs w:val="18"/>
              </w:rPr>
              <w:t>(4)</w:t>
            </w:r>
          </w:p>
        </w:tc>
        <w:tc>
          <w:tcPr>
            <w:tcW w:w="762"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snapToGrid w:val="0"/>
                <w:color w:val="FFFFFF" w:themeColor="background1"/>
                <w:sz w:val="18"/>
                <w:szCs w:val="18"/>
              </w:rPr>
              <w:t>(5)</w:t>
            </w:r>
          </w:p>
        </w:tc>
        <w:tc>
          <w:tcPr>
            <w:tcW w:w="762"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snapToGrid w:val="0"/>
                <w:color w:val="FFFFFF" w:themeColor="background1"/>
                <w:sz w:val="18"/>
                <w:szCs w:val="18"/>
              </w:rPr>
              <w:t>(6)</w:t>
            </w:r>
          </w:p>
        </w:tc>
        <w:tc>
          <w:tcPr>
            <w:tcW w:w="763"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snapToGrid w:val="0"/>
                <w:color w:val="FFFFFF" w:themeColor="background1"/>
                <w:sz w:val="18"/>
                <w:szCs w:val="18"/>
              </w:rPr>
              <w:t>(7)</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76,36</w:t>
            </w:r>
          </w:p>
        </w:tc>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83,00</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89,17</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70,88</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65,81</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71,42</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77,45</w:t>
            </w:r>
          </w:p>
        </w:tc>
        <w:tc>
          <w:tcPr>
            <w:tcW w:w="6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72,73</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85,12</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73,98</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77,55</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61,90</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77,56</w:t>
            </w:r>
          </w:p>
        </w:tc>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84,33</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87,00</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99,64</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89,84</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83,88</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90,77</w:t>
            </w:r>
          </w:p>
        </w:tc>
        <w:tc>
          <w:tcPr>
            <w:tcW w:w="6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81,76</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84,94</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73,03</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85,53</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86,55</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74,11</w:t>
            </w:r>
          </w:p>
        </w:tc>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76,85</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85,47</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81,49</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78,97</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71,29</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83,79</w:t>
            </w:r>
          </w:p>
        </w:tc>
        <w:tc>
          <w:tcPr>
            <w:tcW w:w="6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83,11</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73,24</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70,41</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75,69</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89,39</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65,94</w:t>
            </w:r>
          </w:p>
        </w:tc>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64,57</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60,97</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69,31</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75,21</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76,83</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95,32</w:t>
            </w:r>
          </w:p>
        </w:tc>
        <w:tc>
          <w:tcPr>
            <w:tcW w:w="6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88,83</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89,82</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57,24</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69,18</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66,34</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97,75</w:t>
            </w:r>
          </w:p>
        </w:tc>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109,77</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122,61</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128,61</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108,56</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94,74</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72,92</w:t>
            </w:r>
          </w:p>
        </w:tc>
        <w:tc>
          <w:tcPr>
            <w:tcW w:w="6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65,81</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65,76</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80,37</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86,77</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92,12</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73,18</w:t>
            </w:r>
          </w:p>
        </w:tc>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69,33</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82,84</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88,36</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97,70</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77,73</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83,08</w:t>
            </w:r>
          </w:p>
        </w:tc>
        <w:tc>
          <w:tcPr>
            <w:tcW w:w="6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85,12</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92,69</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97,65</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94,19</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89,35</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sz w:val="18"/>
                <w:szCs w:val="18"/>
              </w:rPr>
            </w:pPr>
            <w:r>
              <w:rPr>
                <w:rFonts w:cstheme="minorHAnsi"/>
                <w:sz w:val="18"/>
                <w:szCs w:val="18"/>
              </w:rPr>
              <w:t>72,71</w:t>
            </w:r>
          </w:p>
        </w:tc>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67,07</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51,75</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63,36</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64,60</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86,12</w:t>
            </w:r>
          </w:p>
        </w:tc>
      </w:tr>
      <w:tr>
        <w:trPr>
          <w:cantSplit/>
          <w:trHeight w:val="312"/>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sz w:val="18"/>
                <w:szCs w:val="18"/>
              </w:rPr>
            </w:pPr>
            <w:r>
              <w:rPr>
                <w:rFonts w:cstheme="minorHAnsi"/>
                <w:sz w:val="18"/>
                <w:szCs w:val="18"/>
              </w:rPr>
              <w:t>105,59</w:t>
            </w:r>
          </w:p>
        </w:tc>
        <w:tc>
          <w:tcPr>
            <w:tcW w:w="6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81,97</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96,47</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88,77</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108,02</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98,48</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sz w:val="18"/>
                <w:szCs w:val="18"/>
              </w:rPr>
            </w:pPr>
            <w:r>
              <w:rPr>
                <w:rFonts w:cstheme="minorHAnsi"/>
                <w:b/>
                <w:bCs/>
                <w:sz w:val="18"/>
                <w:szCs w:val="18"/>
              </w:rPr>
              <w:t>82,30</w:t>
            </w:r>
          </w:p>
        </w:tc>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80,47</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86,38</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82,23</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84,28</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79,82</w:t>
            </w:r>
          </w:p>
        </w:tc>
      </w:tr>
    </w:tbl>
    <w:p>
      <w:pPr>
        <w:spacing w:line="360" w:lineRule="auto"/>
        <w:ind w:left="284"/>
        <w:jc w:val="both"/>
        <w:rPr>
          <w:rFonts w:cs="Calibri"/>
          <w:b/>
          <w:i/>
          <w:sz w:val="20"/>
          <w:szCs w:val="20"/>
        </w:rPr>
      </w:pPr>
      <w:r>
        <w:rPr>
          <w:rFonts w:cs="Arial"/>
          <w:i/>
          <w:sz w:val="20"/>
          <w:szCs w:val="20"/>
        </w:rPr>
        <w:t>Sumber: BPS, Susenas 2019-2021</w:t>
      </w:r>
    </w:p>
    <w:p>
      <w:pPr>
        <w:pStyle w:val="Caption"/>
        <w:spacing w:line="360" w:lineRule="auto"/>
        <w:ind w:left="284" w:firstLine="567"/>
        <w:jc w:val="both"/>
        <w:rPr>
          <w:rFonts w:cs="Arial"/>
          <w:i w:val="0"/>
          <w:iCs w:val="0"/>
          <w:color w:val="auto"/>
          <w:sz w:val="20"/>
          <w:szCs w:val="20"/>
        </w:rPr>
      </w:pPr>
      <w:r>
        <w:rPr>
          <w:rFonts w:cs="Arial"/>
          <w:i w:val="0"/>
          <w:iCs w:val="0"/>
          <w:color w:val="auto"/>
          <w:sz w:val="20"/>
          <w:szCs w:val="20"/>
        </w:rPr>
        <w:lastRenderedPageBreak/>
        <w:t>Pada jenjang pendidikan SMA, nilai APK SMA Kalimantan Tengah tahun 2021 juga lebih tinggi pada laki-laki dibandingkan perempuan. Terdapat enam kabupaten/kota yang memiliki nilai APK SMA perempuan lebih tinggi dibandingkan laki-laki yakni Barito Selatan, Sukamara, Lamandau, Pulang Pisau, Murung Raya, dan Palangka Raya</w:t>
      </w:r>
    </w:p>
    <w:p>
      <w:pPr>
        <w:pStyle w:val="Heading2"/>
        <w:numPr>
          <w:ilvl w:val="1"/>
          <w:numId w:val="22"/>
        </w:numPr>
        <w:ind w:left="709" w:hanging="425"/>
        <w:rPr>
          <w:rFonts w:asciiTheme="minorHAnsi" w:hAnsiTheme="minorHAnsi" w:cstheme="minorHAnsi"/>
          <w:sz w:val="20"/>
          <w:szCs w:val="20"/>
          <w:lang w:val="en-US"/>
        </w:rPr>
      </w:pPr>
      <w:bookmarkStart w:id="52" w:name="_Toc118715983"/>
      <w:r>
        <w:rPr>
          <w:rFonts w:asciiTheme="minorHAnsi" w:hAnsiTheme="minorHAnsi" w:cstheme="minorHAnsi"/>
          <w:sz w:val="20"/>
          <w:szCs w:val="20"/>
          <w:lang w:val="en-US"/>
        </w:rPr>
        <w:t>Angka Partisipasi Sekolah</w:t>
      </w:r>
      <w:bookmarkEnd w:id="52"/>
    </w:p>
    <w:p>
      <w:pPr>
        <w:pStyle w:val="ListParagraph"/>
        <w:spacing w:line="360" w:lineRule="auto"/>
        <w:ind w:left="284" w:firstLine="567"/>
        <w:jc w:val="both"/>
        <w:rPr>
          <w:rFonts w:cs="Arial"/>
          <w:sz w:val="20"/>
          <w:szCs w:val="20"/>
        </w:rPr>
      </w:pPr>
      <w:r>
        <w:rPr>
          <w:rFonts w:cs="Arial"/>
          <w:sz w:val="20"/>
          <w:szCs w:val="20"/>
        </w:rPr>
        <w:t>Angka Partisipasi Sekolah (APS) merupakan ukuran daya serap lembaga pendidikan terhadap penduduk usia sekolah. Angka tersebut memperhitungkan adanya perubahan penduduk terutama penduduk usia muda. APS merupakan indikator dasar yang digunakan untuk melihat akses pada pendidikan khususnya bagi penduduk usia sekolah.</w:t>
      </w:r>
    </w:p>
    <w:p>
      <w:pPr>
        <w:pStyle w:val="ListParagraph"/>
        <w:spacing w:line="360" w:lineRule="auto"/>
        <w:ind w:left="284" w:firstLine="567"/>
        <w:jc w:val="both"/>
        <w:rPr>
          <w:rFonts w:cs="Arial"/>
          <w:sz w:val="20"/>
          <w:szCs w:val="20"/>
        </w:rPr>
      </w:pPr>
      <w:r>
        <w:rPr>
          <w:rFonts w:cs="Arial"/>
          <w:sz w:val="20"/>
          <w:szCs w:val="20"/>
        </w:rPr>
        <w:t>Semakin tinggi APS, menunjukkan semakin besar jumlah penduduk yang berkesempatan mengenyam pendidikan. Namun demikian meningkatnya APS tidak selalu dapat diartikan sebagai meningkatnya pemerataan kesempatan masyarakat untuk mengenyam pendidikan.</w:t>
      </w:r>
    </w:p>
    <w:p>
      <w:pPr>
        <w:pStyle w:val="ListParagraph"/>
        <w:spacing w:line="360" w:lineRule="auto"/>
        <w:ind w:left="284" w:firstLine="567"/>
        <w:jc w:val="both"/>
        <w:rPr>
          <w:rFonts w:cs="Calibri"/>
          <w:sz w:val="20"/>
          <w:szCs w:val="20"/>
        </w:rPr>
      </w:pPr>
      <w:r>
        <w:rPr>
          <w:rFonts w:cs="Calibri"/>
          <w:sz w:val="20"/>
          <w:szCs w:val="20"/>
        </w:rPr>
        <w:t>Pada Tabel 4.4 terlihat bahwa APS penduduk umur 7-12 tahun nilainya sudah hampir 100 persen semua, yang berarti hampir semua penduduk umur 7-12 tahun sedang bersekolah. Berdasarkan jenis kelaminnya,  APS penduduk perempuan umur 7-12 tahun di Provinsi Kalimantan Tengah selama tahun 2019-2021 konsisten lebih tinggi dibanding laki-laki. beberapa kabupaten/kota di Provinsi Kalimantan Tengah telah ada yang mencapai 100 persen. Hal tersebut utamanya terlihat pada 6 kabupaten/kota yaitu Kotawaringin Timur, Kapuas, Barito Selatan, Barito Utara, Gunung Mas, dan Palangka Raya. Pada tahun 2021, penduduk laki-</w:t>
      </w:r>
      <w:r>
        <w:rPr>
          <w:rFonts w:cs="Calibri"/>
          <w:sz w:val="20"/>
          <w:szCs w:val="20"/>
        </w:rPr>
        <w:lastRenderedPageBreak/>
        <w:t xml:space="preserve">laki berusia 7-12 tahun di Kalimantan Tengah yang tidak sedang bersekolah hanya sekitar 0,49 persen. Sedangkan untuk penduduk perempuan berusia 7-12 tahun yang tidak bersekolah sebanyak 0,40 persen. </w:t>
      </w: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Calibri"/>
          <w:sz w:val="20"/>
          <w:szCs w:val="20"/>
        </w:rPr>
      </w:pPr>
    </w:p>
    <w:p>
      <w:pPr>
        <w:pStyle w:val="ListParagraph"/>
        <w:spacing w:line="360" w:lineRule="auto"/>
        <w:ind w:left="284" w:firstLine="567"/>
        <w:jc w:val="both"/>
        <w:rPr>
          <w:rFonts w:cs="Arial"/>
          <w:sz w:val="20"/>
          <w:szCs w:val="20"/>
        </w:rPr>
      </w:pPr>
    </w:p>
    <w:p>
      <w:pPr>
        <w:pStyle w:val="Caption"/>
        <w:ind w:left="1418" w:hanging="1134"/>
        <w:rPr>
          <w:b/>
          <w:bCs/>
          <w:i w:val="0"/>
          <w:iCs w:val="0"/>
          <w:color w:val="auto"/>
          <w:sz w:val="20"/>
          <w:szCs w:val="20"/>
          <w:lang w:val="en-US"/>
        </w:rPr>
      </w:pPr>
      <w:bookmarkStart w:id="53" w:name="_Toc117519523"/>
      <w:r>
        <w:rPr>
          <w:b/>
          <w:bCs/>
          <w:i w:val="0"/>
          <w:iCs w:val="0"/>
          <w:color w:val="auto"/>
          <w:sz w:val="20"/>
          <w:szCs w:val="20"/>
        </w:rPr>
        <w:lastRenderedPageBreak/>
        <w:t xml:space="preserve">Tabel 4. </w:t>
      </w:r>
      <w:r>
        <w:rPr>
          <w:b/>
          <w:bCs/>
          <w:i w:val="0"/>
          <w:iCs w:val="0"/>
          <w:color w:val="auto"/>
          <w:sz w:val="20"/>
          <w:szCs w:val="20"/>
        </w:rPr>
        <w:fldChar w:fldCharType="begin"/>
      </w:r>
      <w:r>
        <w:rPr>
          <w:b/>
          <w:bCs/>
          <w:i w:val="0"/>
          <w:iCs w:val="0"/>
          <w:color w:val="auto"/>
          <w:sz w:val="20"/>
          <w:szCs w:val="20"/>
        </w:rPr>
        <w:instrText xml:space="preserve"> SEQ Tabel_4. \* ARABIC </w:instrText>
      </w:r>
      <w:r>
        <w:rPr>
          <w:b/>
          <w:bCs/>
          <w:i w:val="0"/>
          <w:iCs w:val="0"/>
          <w:color w:val="auto"/>
          <w:sz w:val="20"/>
          <w:szCs w:val="20"/>
        </w:rPr>
        <w:fldChar w:fldCharType="separate"/>
      </w:r>
      <w:r>
        <w:rPr>
          <w:b/>
          <w:bCs/>
          <w:i w:val="0"/>
          <w:iCs w:val="0"/>
          <w:noProof/>
          <w:color w:val="auto"/>
          <w:sz w:val="20"/>
          <w:szCs w:val="20"/>
        </w:rPr>
        <w:t>4</w:t>
      </w:r>
      <w:r>
        <w:rPr>
          <w:b/>
          <w:bCs/>
          <w:i w:val="0"/>
          <w:iCs w:val="0"/>
          <w:color w:val="auto"/>
          <w:sz w:val="20"/>
          <w:szCs w:val="20"/>
        </w:rPr>
        <w:fldChar w:fldCharType="end"/>
      </w:r>
      <w:r>
        <w:rPr>
          <w:b/>
          <w:bCs/>
          <w:i w:val="0"/>
          <w:iCs w:val="0"/>
          <w:color w:val="auto"/>
          <w:sz w:val="20"/>
          <w:szCs w:val="20"/>
          <w:lang w:val="en-US"/>
        </w:rPr>
        <w:tab/>
      </w:r>
      <w:r>
        <w:rPr>
          <w:b/>
          <w:bCs/>
          <w:i w:val="0"/>
          <w:iCs w:val="0"/>
          <w:color w:val="auto"/>
          <w:sz w:val="20"/>
          <w:szCs w:val="20"/>
          <w:lang w:val="en-US"/>
        </w:rPr>
        <w:tab/>
      </w:r>
      <w:r>
        <w:rPr>
          <w:rFonts w:cs="Arial"/>
          <w:b/>
          <w:bCs/>
          <w:i w:val="0"/>
          <w:iCs w:val="0"/>
          <w:color w:val="auto"/>
          <w:sz w:val="20"/>
          <w:szCs w:val="20"/>
        </w:rPr>
        <w:t>Angka Partisipasi Sekolah (APS) Penduduk Umur 7-12 Tahun Menurut Kabupaten/Kota dan Jenis Kelamin, 2019-2021</w:t>
      </w:r>
      <w:bookmarkEnd w:id="53"/>
    </w:p>
    <w:tbl>
      <w:tblPr>
        <w:tblW w:w="624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701"/>
        <w:gridCol w:w="709"/>
        <w:gridCol w:w="708"/>
        <w:gridCol w:w="713"/>
        <w:gridCol w:w="803"/>
        <w:gridCol w:w="803"/>
        <w:gridCol w:w="804"/>
      </w:tblGrid>
      <w:tr>
        <w:trPr>
          <w:cantSplit/>
          <w:trHeight w:val="397"/>
        </w:trPr>
        <w:tc>
          <w:tcPr>
            <w:tcW w:w="1701" w:type="dxa"/>
            <w:vMerge w:val="restart"/>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Kabupaten/Kota</w:t>
            </w:r>
          </w:p>
        </w:tc>
        <w:tc>
          <w:tcPr>
            <w:tcW w:w="2130"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Laki-laki</w:t>
            </w:r>
          </w:p>
        </w:tc>
        <w:tc>
          <w:tcPr>
            <w:tcW w:w="2410"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Perempuan</w:t>
            </w:r>
          </w:p>
        </w:tc>
      </w:tr>
      <w:tr>
        <w:trPr>
          <w:cantSplit/>
          <w:trHeight w:val="361"/>
        </w:trPr>
        <w:tc>
          <w:tcPr>
            <w:tcW w:w="1701" w:type="dxa"/>
            <w:vMerge/>
            <w:shd w:val="clear" w:color="auto" w:fill="38003D"/>
            <w:vAlign w:val="center"/>
            <w:hideMark/>
          </w:tcPr>
          <w:p>
            <w:pPr>
              <w:spacing w:after="0" w:line="240" w:lineRule="auto"/>
              <w:rPr>
                <w:b/>
                <w:bCs/>
                <w:snapToGrid w:val="0"/>
                <w:color w:val="FFFFFF" w:themeColor="background1"/>
                <w:sz w:val="18"/>
                <w:szCs w:val="18"/>
              </w:rPr>
            </w:pPr>
          </w:p>
        </w:tc>
        <w:tc>
          <w:tcPr>
            <w:tcW w:w="709"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708"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13"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c>
          <w:tcPr>
            <w:tcW w:w="803"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803"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804"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r>
      <w:tr>
        <w:trPr>
          <w:cantSplit/>
          <w:trHeight w:val="153"/>
        </w:trPr>
        <w:tc>
          <w:tcPr>
            <w:tcW w:w="1701"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(1)</w:t>
            </w:r>
          </w:p>
        </w:tc>
        <w:tc>
          <w:tcPr>
            <w:tcW w:w="709"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(2)</w:t>
            </w:r>
          </w:p>
        </w:tc>
        <w:tc>
          <w:tcPr>
            <w:tcW w:w="708"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(3)</w:t>
            </w:r>
          </w:p>
        </w:tc>
        <w:tc>
          <w:tcPr>
            <w:tcW w:w="713"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(4)</w:t>
            </w:r>
          </w:p>
        </w:tc>
        <w:tc>
          <w:tcPr>
            <w:tcW w:w="803"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(5)</w:t>
            </w:r>
          </w:p>
        </w:tc>
        <w:tc>
          <w:tcPr>
            <w:tcW w:w="803"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(6)</w:t>
            </w:r>
          </w:p>
        </w:tc>
        <w:tc>
          <w:tcPr>
            <w:tcW w:w="804"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(7)</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99,52</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99,08</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99,57</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99,55</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97,98</w:t>
            </w:r>
          </w:p>
        </w:tc>
        <w:tc>
          <w:tcPr>
            <w:tcW w:w="7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99,21</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99,41</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98,94</w:t>
            </w:r>
          </w:p>
        </w:tc>
        <w:tc>
          <w:tcPr>
            <w:tcW w:w="7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99,29</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97,81</w:t>
            </w:r>
          </w:p>
        </w:tc>
        <w:tc>
          <w:tcPr>
            <w:tcW w:w="7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98,32</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98,86</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99,31</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99,72</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99,75</w:t>
            </w:r>
          </w:p>
        </w:tc>
        <w:tc>
          <w:tcPr>
            <w:tcW w:w="7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99,25</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98,09</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99,21</w:t>
            </w:r>
          </w:p>
        </w:tc>
        <w:tc>
          <w:tcPr>
            <w:tcW w:w="7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99,63</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99,40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99,35</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98,26</w:t>
            </w:r>
          </w:p>
        </w:tc>
        <w:tc>
          <w:tcPr>
            <w:tcW w:w="7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99,07</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99,59</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99,07</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99,34</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99,87</w:t>
            </w:r>
          </w:p>
        </w:tc>
        <w:tc>
          <w:tcPr>
            <w:tcW w:w="7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98,88</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99,69</w:t>
            </w:r>
          </w:p>
        </w:tc>
        <w:tc>
          <w:tcPr>
            <w:tcW w:w="7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99,75</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99,56</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99,54</w:t>
            </w:r>
          </w:p>
        </w:tc>
        <w:tc>
          <w:tcPr>
            <w:tcW w:w="7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99,43</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99,57</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98,46</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99,44</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98,69</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99,92</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99,00</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99,43</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99,16</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97,79</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99,88</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99,67</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98,98</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99,37</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99,95</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99,05</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97"/>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99,57</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99,26</w:t>
            </w:r>
          </w:p>
        </w:tc>
        <w:tc>
          <w:tcPr>
            <w:tcW w:w="7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99,51</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99,76</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99,74</w:t>
            </w:r>
          </w:p>
        </w:tc>
        <w:tc>
          <w:tcPr>
            <w:tcW w:w="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99,60</w:t>
            </w:r>
          </w:p>
        </w:tc>
      </w:tr>
    </w:tbl>
    <w:p>
      <w:pPr>
        <w:ind w:left="284"/>
        <w:rPr>
          <w:sz w:val="18"/>
          <w:szCs w:val="18"/>
          <w:lang w:val="en-US"/>
        </w:rPr>
      </w:pPr>
      <w:r>
        <w:rPr>
          <w:rFonts w:cs="Arial"/>
          <w:i/>
          <w:sz w:val="18"/>
          <w:szCs w:val="18"/>
        </w:rPr>
        <w:t>Sumber: BPS, Susenas 2019-2021</w:t>
      </w:r>
    </w:p>
    <w:p>
      <w:pPr>
        <w:spacing w:line="360" w:lineRule="auto"/>
        <w:ind w:left="284" w:firstLine="425"/>
        <w:jc w:val="both"/>
        <w:rPr>
          <w:rFonts w:cs="Calibri"/>
          <w:sz w:val="20"/>
          <w:szCs w:val="20"/>
        </w:rPr>
      </w:pPr>
      <w:r>
        <w:rPr>
          <w:rFonts w:cs="Calibri"/>
          <w:sz w:val="20"/>
          <w:szCs w:val="20"/>
        </w:rPr>
        <w:t xml:space="preserve">Nilai APS penduduk umur 13-15 tahun laki-laki di Kalimantan Tengah tahun 2021 lebih tinggi daripada perempuan. Hal ini mengindikasikan bahwa pada kelompok umur 13-15 tahun, penduduk laki-laki lebih banyak yang sedang berpartisipasi sekolah dibandingkan penduduk perempuan. Kondisi </w:t>
      </w:r>
      <w:r>
        <w:rPr>
          <w:rFonts w:cs="Calibri"/>
          <w:sz w:val="20"/>
          <w:szCs w:val="20"/>
        </w:rPr>
        <w:lastRenderedPageBreak/>
        <w:t>yang sama juga terjadi di sebagian besar kabupaten/kota di Kalimantan Tengah. Hanya ada 4 kabupaten yang memiliki nilai APS penduduk usia 13-15 tahun perempuan yang lebih tinggi daripada laki-laki yaitu Kotawaringin Barat, Pulang Pisau, Gunung Mas, dan Murung Raya. Sementara sisanya sebanyak 10 kabupaten/kota memiliki nilai APS penduduk usia 13-15 tahun laki-laki lebih tinggi daripada perempuan.</w:t>
      </w: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spacing w:line="360" w:lineRule="auto"/>
        <w:ind w:left="284" w:firstLine="425"/>
        <w:jc w:val="both"/>
        <w:rPr>
          <w:rFonts w:cs="Calibri"/>
          <w:sz w:val="20"/>
          <w:szCs w:val="20"/>
        </w:rPr>
      </w:pPr>
    </w:p>
    <w:p>
      <w:pPr>
        <w:pStyle w:val="Caption"/>
        <w:ind w:left="1418" w:hanging="1134"/>
        <w:jc w:val="both"/>
        <w:rPr>
          <w:rFonts w:cs="Calibri"/>
          <w:b/>
          <w:bCs/>
          <w:i w:val="0"/>
          <w:iCs w:val="0"/>
          <w:color w:val="auto"/>
          <w:sz w:val="20"/>
          <w:szCs w:val="20"/>
        </w:rPr>
      </w:pPr>
      <w:bookmarkStart w:id="54" w:name="_Toc117519524"/>
      <w:r>
        <w:rPr>
          <w:b/>
          <w:bCs/>
          <w:i w:val="0"/>
          <w:iCs w:val="0"/>
          <w:color w:val="auto"/>
          <w:sz w:val="20"/>
          <w:szCs w:val="20"/>
        </w:rPr>
        <w:lastRenderedPageBreak/>
        <w:t xml:space="preserve">Tabel 4. </w:t>
      </w:r>
      <w:r>
        <w:rPr>
          <w:b/>
          <w:bCs/>
          <w:i w:val="0"/>
          <w:iCs w:val="0"/>
          <w:color w:val="auto"/>
          <w:sz w:val="20"/>
          <w:szCs w:val="20"/>
        </w:rPr>
        <w:fldChar w:fldCharType="begin"/>
      </w:r>
      <w:r>
        <w:rPr>
          <w:b/>
          <w:bCs/>
          <w:i w:val="0"/>
          <w:iCs w:val="0"/>
          <w:color w:val="auto"/>
          <w:sz w:val="20"/>
          <w:szCs w:val="20"/>
        </w:rPr>
        <w:instrText xml:space="preserve"> SEQ Tabel_4. \* ARABIC </w:instrText>
      </w:r>
      <w:r>
        <w:rPr>
          <w:b/>
          <w:bCs/>
          <w:i w:val="0"/>
          <w:iCs w:val="0"/>
          <w:color w:val="auto"/>
          <w:sz w:val="20"/>
          <w:szCs w:val="20"/>
        </w:rPr>
        <w:fldChar w:fldCharType="separate"/>
      </w:r>
      <w:r>
        <w:rPr>
          <w:b/>
          <w:bCs/>
          <w:i w:val="0"/>
          <w:iCs w:val="0"/>
          <w:noProof/>
          <w:color w:val="auto"/>
          <w:sz w:val="20"/>
          <w:szCs w:val="20"/>
        </w:rPr>
        <w:t>5</w:t>
      </w:r>
      <w:r>
        <w:rPr>
          <w:b/>
          <w:bCs/>
          <w:i w:val="0"/>
          <w:iCs w:val="0"/>
          <w:color w:val="auto"/>
          <w:sz w:val="20"/>
          <w:szCs w:val="20"/>
        </w:rPr>
        <w:fldChar w:fldCharType="end"/>
      </w:r>
      <w:r>
        <w:rPr>
          <w:b/>
          <w:bCs/>
          <w:i w:val="0"/>
          <w:iCs w:val="0"/>
          <w:color w:val="auto"/>
          <w:sz w:val="20"/>
          <w:szCs w:val="20"/>
        </w:rPr>
        <w:tab/>
      </w:r>
      <w:r>
        <w:rPr>
          <w:rFonts w:cs="Arial"/>
          <w:b/>
          <w:bCs/>
          <w:i w:val="0"/>
          <w:iCs w:val="0"/>
          <w:color w:val="auto"/>
          <w:sz w:val="20"/>
          <w:szCs w:val="20"/>
        </w:rPr>
        <w:t>Angka Partisipasi Sekolah (APS) Penduduk Umur 13-15 Tahun Menurut Kabupaten/Kota dan Jenis Kelamin, 2019-2021</w:t>
      </w:r>
      <w:bookmarkEnd w:id="54"/>
    </w:p>
    <w:tbl>
      <w:tblPr>
        <w:tblW w:w="585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27"/>
        <w:gridCol w:w="721"/>
        <w:gridCol w:w="721"/>
        <w:gridCol w:w="721"/>
        <w:gridCol w:w="720"/>
        <w:gridCol w:w="720"/>
        <w:gridCol w:w="721"/>
      </w:tblGrid>
      <w:tr>
        <w:trPr>
          <w:cantSplit/>
          <w:trHeight w:val="359"/>
        </w:trPr>
        <w:tc>
          <w:tcPr>
            <w:tcW w:w="1527" w:type="dxa"/>
            <w:vMerge w:val="restart"/>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Kabupaten/Kota</w:t>
            </w:r>
          </w:p>
        </w:tc>
        <w:tc>
          <w:tcPr>
            <w:tcW w:w="2163"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Laki-laki</w:t>
            </w:r>
          </w:p>
        </w:tc>
        <w:tc>
          <w:tcPr>
            <w:tcW w:w="2161"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Perempuan</w:t>
            </w:r>
          </w:p>
        </w:tc>
      </w:tr>
      <w:tr>
        <w:trPr>
          <w:cantSplit/>
          <w:trHeight w:val="359"/>
        </w:trPr>
        <w:tc>
          <w:tcPr>
            <w:tcW w:w="1527" w:type="dxa"/>
            <w:vMerge/>
            <w:shd w:val="clear" w:color="auto" w:fill="38003D"/>
            <w:vAlign w:val="center"/>
            <w:hideMark/>
          </w:tcPr>
          <w:p>
            <w:pPr>
              <w:spacing w:after="0" w:line="240" w:lineRule="auto"/>
              <w:rPr>
                <w:b/>
                <w:bCs/>
                <w:snapToGrid w:val="0"/>
                <w:color w:val="FFFFFF" w:themeColor="background1"/>
                <w:sz w:val="18"/>
                <w:szCs w:val="18"/>
              </w:rPr>
            </w:pPr>
          </w:p>
        </w:tc>
        <w:tc>
          <w:tcPr>
            <w:tcW w:w="72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72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2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c>
          <w:tcPr>
            <w:tcW w:w="720"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720"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2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r>
      <w:tr>
        <w:trPr>
          <w:cantSplit/>
          <w:trHeight w:val="205"/>
        </w:trPr>
        <w:tc>
          <w:tcPr>
            <w:tcW w:w="1527"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(1)</w:t>
            </w:r>
          </w:p>
        </w:tc>
        <w:tc>
          <w:tcPr>
            <w:tcW w:w="72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(2)</w:t>
            </w:r>
          </w:p>
        </w:tc>
        <w:tc>
          <w:tcPr>
            <w:tcW w:w="72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(3)</w:t>
            </w:r>
          </w:p>
        </w:tc>
        <w:tc>
          <w:tcPr>
            <w:tcW w:w="72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(4)</w:t>
            </w:r>
          </w:p>
        </w:tc>
        <w:tc>
          <w:tcPr>
            <w:tcW w:w="720"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(5)</w:t>
            </w:r>
          </w:p>
        </w:tc>
        <w:tc>
          <w:tcPr>
            <w:tcW w:w="720"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(6)</w:t>
            </w:r>
          </w:p>
        </w:tc>
        <w:tc>
          <w:tcPr>
            <w:tcW w:w="72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(7)</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92,60</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95,85</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90,42</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93,67</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92,31</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99,62</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97,34</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97,97</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94,03</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98,62</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93,10</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90,89</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94,61</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93,17</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94,78</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93,00</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95,47</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95,72</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96,84</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98,37</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98,06</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96,45</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97,45</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96,12</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98,82</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98,75</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97,15</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82,10</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80,55</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92,52</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93,76</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95,47</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86,19</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94,31</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97,55</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96,46</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94,11</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88,84</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87,27</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94,29</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92,02</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96,07</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88,24</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94,58</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98,38</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96,87</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92,60</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97,02</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90,42</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88,89</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91,82</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95,78</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98,25</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94,95</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97,08</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89,62</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92,34</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91,63</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98,64</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97,85</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97,36</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91,38</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96,23</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89,23</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97,05</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91,91</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90,81</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93,54</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92,95</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96,10</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94,33</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94,31</w:t>
            </w:r>
          </w:p>
        </w:tc>
      </w:tr>
      <w:tr>
        <w:trPr>
          <w:cantSplit/>
          <w:trHeight w:val="307"/>
        </w:trPr>
        <w:tc>
          <w:tcPr>
            <w:tcW w:w="15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97,63</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88,62</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93,62</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85,98</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95,83</w:t>
            </w:r>
          </w:p>
        </w:tc>
        <w:tc>
          <w:tcPr>
            <w:tcW w:w="7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93,16</w:t>
            </w:r>
          </w:p>
        </w:tc>
      </w:tr>
      <w:tr>
        <w:trPr>
          <w:cantSplit/>
          <w:trHeight w:val="359"/>
        </w:trPr>
        <w:tc>
          <w:tcPr>
            <w:tcW w:w="15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94,37</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93,36</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95,43</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93,79</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96,41</w:t>
            </w:r>
          </w:p>
        </w:tc>
        <w:tc>
          <w:tcPr>
            <w:tcW w:w="7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94,99</w:t>
            </w:r>
          </w:p>
        </w:tc>
      </w:tr>
    </w:tbl>
    <w:p>
      <w:pPr>
        <w:spacing w:line="360" w:lineRule="auto"/>
        <w:ind w:left="284"/>
        <w:jc w:val="both"/>
        <w:rPr>
          <w:rFonts w:cs="Calibri"/>
          <w:b/>
          <w:bCs/>
          <w:i/>
          <w:color w:val="FF0000"/>
          <w:sz w:val="18"/>
          <w:szCs w:val="18"/>
        </w:rPr>
      </w:pPr>
      <w:r>
        <w:rPr>
          <w:rFonts w:cs="Arial"/>
          <w:i/>
          <w:sz w:val="18"/>
          <w:szCs w:val="18"/>
        </w:rPr>
        <w:t>Sumber: BPS, Susenas 2019-2021</w:t>
      </w:r>
    </w:p>
    <w:p>
      <w:pPr>
        <w:ind w:left="284"/>
        <w:rPr>
          <w:lang w:val="en-US"/>
        </w:rPr>
      </w:pPr>
    </w:p>
    <w:p>
      <w:pPr>
        <w:rPr>
          <w:lang w:val="en-US"/>
        </w:rPr>
      </w:pPr>
    </w:p>
    <w:p>
      <w:pPr>
        <w:pStyle w:val="Caption"/>
      </w:pPr>
    </w:p>
    <w:p>
      <w:pPr>
        <w:tabs>
          <w:tab w:val="left" w:pos="1418"/>
        </w:tabs>
        <w:spacing w:line="240" w:lineRule="auto"/>
        <w:ind w:left="1418" w:hanging="1134"/>
        <w:jc w:val="both"/>
        <w:rPr>
          <w:rFonts w:cs="Arial"/>
          <w:b/>
          <w:bCs/>
          <w:sz w:val="20"/>
          <w:szCs w:val="20"/>
        </w:rPr>
      </w:pPr>
      <w:bookmarkStart w:id="55" w:name="_Toc117519525"/>
      <w:r>
        <w:rPr>
          <w:b/>
          <w:bCs/>
          <w:sz w:val="20"/>
          <w:szCs w:val="20"/>
        </w:rPr>
        <w:lastRenderedPageBreak/>
        <w:t xml:space="preserve">Tabel 4. </w:t>
      </w:r>
      <w:r>
        <w:rPr>
          <w:b/>
          <w:bCs/>
          <w:sz w:val="20"/>
          <w:szCs w:val="20"/>
        </w:rPr>
        <w:fldChar w:fldCharType="begin"/>
      </w:r>
      <w:r>
        <w:rPr>
          <w:b/>
          <w:bCs/>
          <w:sz w:val="20"/>
          <w:szCs w:val="20"/>
        </w:rPr>
        <w:instrText xml:space="preserve"> SEQ Tabel_4. \* ARABIC </w:instrText>
      </w:r>
      <w:r>
        <w:rPr>
          <w:b/>
          <w:bCs/>
          <w:sz w:val="20"/>
          <w:szCs w:val="20"/>
        </w:rPr>
        <w:fldChar w:fldCharType="separate"/>
      </w:r>
      <w:r>
        <w:rPr>
          <w:b/>
          <w:bCs/>
          <w:noProof/>
          <w:sz w:val="20"/>
          <w:szCs w:val="20"/>
        </w:rPr>
        <w:t>6</w:t>
      </w:r>
      <w:r>
        <w:rPr>
          <w:b/>
          <w:bCs/>
          <w:sz w:val="20"/>
          <w:szCs w:val="20"/>
        </w:rPr>
        <w:fldChar w:fldCharType="end"/>
      </w:r>
      <w:r>
        <w:rPr>
          <w:b/>
          <w:bCs/>
          <w:sz w:val="20"/>
          <w:szCs w:val="20"/>
        </w:rPr>
        <w:tab/>
      </w:r>
      <w:r>
        <w:rPr>
          <w:b/>
          <w:bCs/>
          <w:sz w:val="20"/>
          <w:szCs w:val="20"/>
        </w:rPr>
        <w:tab/>
      </w:r>
      <w:r>
        <w:rPr>
          <w:rFonts w:cs="Arial"/>
          <w:b/>
          <w:bCs/>
          <w:sz w:val="20"/>
          <w:szCs w:val="20"/>
        </w:rPr>
        <w:t>Angka Partisipasi Sekolah (APS) Penduduk Umur 16-18 Tahun Menurut Kabupaten/Kota dan Jenis Kelamin, 2019-2021</w:t>
      </w:r>
      <w:bookmarkEnd w:id="55"/>
    </w:p>
    <w:tbl>
      <w:tblPr>
        <w:tblW w:w="5952"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487"/>
        <w:gridCol w:w="633"/>
        <w:gridCol w:w="766"/>
        <w:gridCol w:w="768"/>
        <w:gridCol w:w="765"/>
        <w:gridCol w:w="765"/>
        <w:gridCol w:w="768"/>
      </w:tblGrid>
      <w:tr>
        <w:trPr>
          <w:cantSplit/>
          <w:trHeight w:val="381"/>
        </w:trPr>
        <w:tc>
          <w:tcPr>
            <w:tcW w:w="1487" w:type="dxa"/>
            <w:vMerge w:val="restart"/>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Kabupaten/Kota</w:t>
            </w:r>
          </w:p>
        </w:tc>
        <w:tc>
          <w:tcPr>
            <w:tcW w:w="2167"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Laki-laki</w:t>
            </w:r>
          </w:p>
        </w:tc>
        <w:tc>
          <w:tcPr>
            <w:tcW w:w="2298"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Perempuan</w:t>
            </w:r>
          </w:p>
        </w:tc>
      </w:tr>
      <w:tr>
        <w:trPr>
          <w:cantSplit/>
          <w:trHeight w:val="381"/>
        </w:trPr>
        <w:tc>
          <w:tcPr>
            <w:tcW w:w="1487" w:type="dxa"/>
            <w:vMerge/>
            <w:shd w:val="clear" w:color="auto" w:fill="38003D"/>
            <w:vAlign w:val="center"/>
            <w:hideMark/>
          </w:tcPr>
          <w:p>
            <w:pPr>
              <w:spacing w:after="0" w:line="240" w:lineRule="auto"/>
              <w:rPr>
                <w:b/>
                <w:bCs/>
                <w:snapToGrid w:val="0"/>
                <w:color w:val="FFFFFF" w:themeColor="background1"/>
                <w:sz w:val="18"/>
                <w:szCs w:val="18"/>
              </w:rPr>
            </w:pPr>
          </w:p>
        </w:tc>
        <w:tc>
          <w:tcPr>
            <w:tcW w:w="633"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766"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68"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c>
          <w:tcPr>
            <w:tcW w:w="765"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765"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68"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r>
      <w:tr>
        <w:trPr>
          <w:cantSplit/>
          <w:trHeight w:val="218"/>
        </w:trPr>
        <w:tc>
          <w:tcPr>
            <w:tcW w:w="1487"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(1)</w:t>
            </w:r>
          </w:p>
        </w:tc>
        <w:tc>
          <w:tcPr>
            <w:tcW w:w="633"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(2)</w:t>
            </w:r>
          </w:p>
        </w:tc>
        <w:tc>
          <w:tcPr>
            <w:tcW w:w="766"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(3)</w:t>
            </w:r>
          </w:p>
        </w:tc>
        <w:tc>
          <w:tcPr>
            <w:tcW w:w="768"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(4)</w:t>
            </w:r>
          </w:p>
        </w:tc>
        <w:tc>
          <w:tcPr>
            <w:tcW w:w="765"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(5)</w:t>
            </w:r>
          </w:p>
        </w:tc>
        <w:tc>
          <w:tcPr>
            <w:tcW w:w="765"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(6)</w:t>
            </w:r>
          </w:p>
        </w:tc>
        <w:tc>
          <w:tcPr>
            <w:tcW w:w="768"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(7)</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6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65,41</w:t>
            </w:r>
          </w:p>
        </w:tc>
        <w:tc>
          <w:tcPr>
            <w:tcW w:w="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69,58</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64,09</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62,58</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59,23</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61,53</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6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55,81</w:t>
            </w:r>
          </w:p>
        </w:tc>
        <w:tc>
          <w:tcPr>
            <w:tcW w:w="7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61,12</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66,88</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58,14</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52,57</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47,39</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6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68,30</w:t>
            </w:r>
          </w:p>
        </w:tc>
        <w:tc>
          <w:tcPr>
            <w:tcW w:w="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72,46</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68,33</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74,64</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69,42</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72,38</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6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74,26</w:t>
            </w:r>
          </w:p>
        </w:tc>
        <w:tc>
          <w:tcPr>
            <w:tcW w:w="7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70,19</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75,84</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75,92</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79,82</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73,82</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6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66,97</w:t>
            </w:r>
          </w:p>
        </w:tc>
        <w:tc>
          <w:tcPr>
            <w:tcW w:w="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64,28</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69,95</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69,80</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73,17</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63,93</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6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82,69</w:t>
            </w:r>
          </w:p>
        </w:tc>
        <w:tc>
          <w:tcPr>
            <w:tcW w:w="7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72,00</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74,65</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69,31</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79,47</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76,48</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6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68,11</w:t>
            </w:r>
          </w:p>
        </w:tc>
        <w:tc>
          <w:tcPr>
            <w:tcW w:w="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66,12</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73,06</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75,04</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78,82</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69,07</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6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49,76</w:t>
            </w:r>
          </w:p>
        </w:tc>
        <w:tc>
          <w:tcPr>
            <w:tcW w:w="7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59,44</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58,90</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63,63</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52,91</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52,91</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6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65,56</w:t>
            </w:r>
          </w:p>
        </w:tc>
        <w:tc>
          <w:tcPr>
            <w:tcW w:w="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66,20</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78,29</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75,15</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74,12</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62,33</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6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71,13</w:t>
            </w:r>
          </w:p>
        </w:tc>
        <w:tc>
          <w:tcPr>
            <w:tcW w:w="7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73,34</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63,02</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67,13</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65,40</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77,78</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6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59,82</w:t>
            </w:r>
          </w:p>
        </w:tc>
        <w:tc>
          <w:tcPr>
            <w:tcW w:w="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67,37</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60,04</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63,95</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54,56</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64,39</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6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64,92</w:t>
            </w:r>
          </w:p>
        </w:tc>
        <w:tc>
          <w:tcPr>
            <w:tcW w:w="7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69,55</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79,51</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74,51</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70,46</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61,16</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6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65,51</w:t>
            </w:r>
          </w:p>
        </w:tc>
        <w:tc>
          <w:tcPr>
            <w:tcW w:w="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62,77</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69,38</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65,38</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69,54</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62,05</w:t>
            </w:r>
          </w:p>
        </w:tc>
      </w:tr>
      <w:tr>
        <w:trPr>
          <w:cantSplit/>
          <w:trHeight w:val="326"/>
        </w:trPr>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6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78,32</w:t>
            </w:r>
          </w:p>
        </w:tc>
        <w:tc>
          <w:tcPr>
            <w:tcW w:w="7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66,56</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77,26</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80,04</w:t>
            </w:r>
          </w:p>
        </w:tc>
        <w:tc>
          <w:tcPr>
            <w:tcW w:w="7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89,40</w:t>
            </w:r>
          </w:p>
        </w:tc>
        <w:tc>
          <w:tcPr>
            <w:tcW w:w="7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80,82</w:t>
            </w:r>
          </w:p>
        </w:tc>
      </w:tr>
      <w:tr>
        <w:trPr>
          <w:cantSplit/>
          <w:trHeight w:val="381"/>
        </w:trPr>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6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65,59</w:t>
            </w:r>
          </w:p>
        </w:tc>
        <w:tc>
          <w:tcPr>
            <w:tcW w:w="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66,67</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68,93</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68,42</w:t>
            </w:r>
          </w:p>
        </w:tc>
        <w:tc>
          <w:tcPr>
            <w:tcW w:w="7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67,20</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64,51</w:t>
            </w:r>
          </w:p>
        </w:tc>
      </w:tr>
    </w:tbl>
    <w:p>
      <w:pPr>
        <w:ind w:left="284"/>
        <w:jc w:val="both"/>
        <w:rPr>
          <w:rFonts w:cs="Calibri"/>
          <w:b/>
          <w:bCs/>
          <w:i/>
          <w:color w:val="FF0000"/>
          <w:sz w:val="18"/>
          <w:szCs w:val="18"/>
        </w:rPr>
      </w:pPr>
      <w:r>
        <w:rPr>
          <w:rFonts w:cs="Arial"/>
          <w:i/>
          <w:sz w:val="18"/>
          <w:szCs w:val="18"/>
        </w:rPr>
        <w:t>Sumber: BPS, Susenas 2019-2021</w:t>
      </w:r>
    </w:p>
    <w:p>
      <w:pPr>
        <w:pStyle w:val="BodyTextIndent2"/>
        <w:spacing w:after="0" w:line="360" w:lineRule="auto"/>
        <w:ind w:left="284" w:right="27" w:firstLine="567"/>
        <w:jc w:val="both"/>
        <w:rPr>
          <w:rFonts w:asciiTheme="minorHAnsi" w:hAnsiTheme="minorHAnsi" w:cs="Calibri"/>
          <w:sz w:val="20"/>
          <w:szCs w:val="20"/>
          <w:lang w:val="id-ID"/>
        </w:rPr>
      </w:pPr>
      <w:r>
        <w:rPr>
          <w:rFonts w:asciiTheme="minorHAnsi" w:hAnsiTheme="minorHAnsi" w:cs="Calibri"/>
          <w:sz w:val="20"/>
          <w:szCs w:val="20"/>
          <w:lang w:val="id-ID"/>
        </w:rPr>
        <w:t>Nilai APS penduduk usia 16-18 tahun Kalimantan Tengah tahun 20</w:t>
      </w:r>
      <w:r>
        <w:rPr>
          <w:rFonts w:asciiTheme="minorHAnsi" w:hAnsiTheme="minorHAnsi" w:cs="Calibri"/>
          <w:sz w:val="20"/>
          <w:szCs w:val="20"/>
        </w:rPr>
        <w:t>19</w:t>
      </w:r>
      <w:r>
        <w:rPr>
          <w:rFonts w:asciiTheme="minorHAnsi" w:hAnsiTheme="minorHAnsi" w:cs="Calibri"/>
          <w:sz w:val="20"/>
          <w:szCs w:val="20"/>
          <w:lang w:val="id-ID"/>
        </w:rPr>
        <w:t xml:space="preserve"> untuk laki-laki sedikit lebih tinggi daripada perempuan. Sedangkan di tingkat kabupaten/kota, terbagi sama, yakni </w:t>
      </w:r>
      <w:r>
        <w:rPr>
          <w:rFonts w:asciiTheme="minorHAnsi" w:hAnsiTheme="minorHAnsi" w:cs="Calibri"/>
          <w:sz w:val="20"/>
          <w:szCs w:val="20"/>
        </w:rPr>
        <w:t>5</w:t>
      </w:r>
      <w:r>
        <w:rPr>
          <w:rFonts w:asciiTheme="minorHAnsi" w:hAnsiTheme="minorHAnsi" w:cs="Calibri"/>
          <w:sz w:val="20"/>
          <w:szCs w:val="20"/>
          <w:lang w:val="id-ID"/>
        </w:rPr>
        <w:t xml:space="preserve"> kabupaten dengan nilai APS penduduk umur 16-18 tahun </w:t>
      </w:r>
      <w:r>
        <w:rPr>
          <w:rFonts w:asciiTheme="minorHAnsi" w:hAnsiTheme="minorHAnsi" w:cs="Calibri"/>
          <w:sz w:val="20"/>
          <w:szCs w:val="20"/>
        </w:rPr>
        <w:t>perempuan</w:t>
      </w:r>
      <w:r>
        <w:rPr>
          <w:rFonts w:asciiTheme="minorHAnsi" w:hAnsiTheme="minorHAnsi" w:cs="Calibri"/>
          <w:sz w:val="20"/>
          <w:szCs w:val="20"/>
          <w:lang w:val="id-ID"/>
        </w:rPr>
        <w:t xml:space="preserve"> yang lebih tinggi daripada </w:t>
      </w:r>
      <w:r>
        <w:rPr>
          <w:rFonts w:asciiTheme="minorHAnsi" w:hAnsiTheme="minorHAnsi" w:cs="Calibri"/>
          <w:sz w:val="20"/>
          <w:szCs w:val="20"/>
        </w:rPr>
        <w:t>laki-laki</w:t>
      </w:r>
      <w:r>
        <w:rPr>
          <w:rFonts w:asciiTheme="minorHAnsi" w:hAnsiTheme="minorHAnsi" w:cs="Calibri"/>
          <w:sz w:val="20"/>
          <w:szCs w:val="20"/>
          <w:lang w:val="id-ID"/>
        </w:rPr>
        <w:t xml:space="preserve">, </w:t>
      </w:r>
      <w:r>
        <w:rPr>
          <w:rFonts w:asciiTheme="minorHAnsi" w:hAnsiTheme="minorHAnsi" w:cs="Calibri"/>
          <w:sz w:val="20"/>
          <w:szCs w:val="20"/>
          <w:lang w:val="id-ID"/>
        </w:rPr>
        <w:lastRenderedPageBreak/>
        <w:t xml:space="preserve">dan juga </w:t>
      </w:r>
      <w:r>
        <w:rPr>
          <w:rFonts w:asciiTheme="minorHAnsi" w:hAnsiTheme="minorHAnsi" w:cs="Calibri"/>
          <w:sz w:val="20"/>
          <w:szCs w:val="20"/>
        </w:rPr>
        <w:t>9</w:t>
      </w:r>
      <w:r>
        <w:rPr>
          <w:rFonts w:asciiTheme="minorHAnsi" w:hAnsiTheme="minorHAnsi" w:cs="Calibri"/>
          <w:sz w:val="20"/>
          <w:szCs w:val="20"/>
          <w:lang w:val="id-ID"/>
        </w:rPr>
        <w:t xml:space="preserve"> kabupaten dengan nilai APS penduduk umur 16-18 tahun </w:t>
      </w:r>
      <w:r>
        <w:rPr>
          <w:rFonts w:asciiTheme="minorHAnsi" w:hAnsiTheme="minorHAnsi" w:cs="Calibri"/>
          <w:sz w:val="20"/>
          <w:szCs w:val="20"/>
        </w:rPr>
        <w:t>laki-laki</w:t>
      </w:r>
      <w:r>
        <w:rPr>
          <w:rFonts w:asciiTheme="minorHAnsi" w:hAnsiTheme="minorHAnsi" w:cs="Calibri"/>
          <w:sz w:val="20"/>
          <w:szCs w:val="20"/>
          <w:lang w:val="id-ID"/>
        </w:rPr>
        <w:t xml:space="preserve"> yang lebih tinggi daripada </w:t>
      </w:r>
      <w:r>
        <w:rPr>
          <w:rFonts w:asciiTheme="minorHAnsi" w:hAnsiTheme="minorHAnsi" w:cs="Calibri"/>
          <w:sz w:val="20"/>
          <w:szCs w:val="20"/>
        </w:rPr>
        <w:t>perempuan</w:t>
      </w:r>
      <w:r>
        <w:rPr>
          <w:rFonts w:asciiTheme="minorHAnsi" w:hAnsiTheme="minorHAnsi" w:cs="Calibri"/>
          <w:sz w:val="20"/>
          <w:szCs w:val="20"/>
          <w:lang w:val="id-ID"/>
        </w:rPr>
        <w:t>.</w:t>
      </w:r>
    </w:p>
    <w:p>
      <w:pPr>
        <w:pStyle w:val="BodyTextIndent2"/>
        <w:spacing w:after="0" w:line="360" w:lineRule="auto"/>
        <w:ind w:left="284" w:right="27" w:firstLine="567"/>
        <w:jc w:val="both"/>
        <w:rPr>
          <w:rFonts w:asciiTheme="minorHAnsi" w:hAnsiTheme="minorHAnsi" w:cs="Calibri"/>
          <w:sz w:val="20"/>
          <w:szCs w:val="20"/>
          <w:lang w:val="id-ID"/>
        </w:rPr>
      </w:pPr>
    </w:p>
    <w:p>
      <w:pPr>
        <w:pStyle w:val="Heading2"/>
        <w:numPr>
          <w:ilvl w:val="1"/>
          <w:numId w:val="22"/>
        </w:numPr>
        <w:rPr>
          <w:lang w:val="en-US"/>
        </w:rPr>
      </w:pPr>
      <w:bookmarkStart w:id="56" w:name="_Toc118715984"/>
      <w:r>
        <w:rPr>
          <w:lang w:val="en-US"/>
        </w:rPr>
        <w:t>Angkka Partisipasi Murni (APM)</w:t>
      </w:r>
      <w:bookmarkEnd w:id="56"/>
    </w:p>
    <w:p>
      <w:pPr>
        <w:pStyle w:val="NormalWeb"/>
        <w:spacing w:before="0" w:beforeAutospacing="0" w:after="0" w:afterAutospacing="0" w:line="360" w:lineRule="auto"/>
        <w:ind w:left="284" w:firstLine="567"/>
        <w:jc w:val="both"/>
        <w:rPr>
          <w:rFonts w:asciiTheme="minorHAnsi" w:hAnsiTheme="minorHAnsi" w:cs="Arial"/>
          <w:sz w:val="20"/>
          <w:szCs w:val="20"/>
        </w:rPr>
      </w:pPr>
      <w:r>
        <w:rPr>
          <w:rFonts w:asciiTheme="minorHAnsi" w:hAnsiTheme="minorHAnsi" w:cs="Arial"/>
          <w:sz w:val="20"/>
          <w:szCs w:val="20"/>
        </w:rPr>
        <w:t>Angka Partisipasi Murni (APM) adalah persentase jumlah anak pada kelompok usia sekolah tertentu yang sedang bersekolah pada jenjang pendidikan yang sesuai dengan usianya terhadap jumlah seluruh anak pada kelompok usia sekolah yang bersangkutan.</w:t>
      </w:r>
    </w:p>
    <w:p>
      <w:pPr>
        <w:pStyle w:val="NormalWeb"/>
        <w:spacing w:before="0" w:beforeAutospacing="0" w:after="0" w:afterAutospacing="0" w:line="360" w:lineRule="auto"/>
        <w:ind w:left="284" w:firstLine="567"/>
        <w:jc w:val="both"/>
        <w:rPr>
          <w:rFonts w:asciiTheme="minorHAnsi" w:hAnsiTheme="minorHAnsi" w:cs="Arial"/>
          <w:sz w:val="20"/>
          <w:szCs w:val="20"/>
        </w:rPr>
      </w:pPr>
      <w:r>
        <w:rPr>
          <w:rFonts w:asciiTheme="minorHAnsi" w:hAnsiTheme="minorHAnsi" w:cs="Arial"/>
          <w:sz w:val="20"/>
          <w:szCs w:val="20"/>
        </w:rPr>
        <w:t xml:space="preserve">Bila APK digunakan untuk mengetahui seberapa banyak penduduk usia sekolah yang sudah dapat memanfaatkan fasilitas pendidikan di suatu jenjang pendidikan tertentu tanpa melihat berapa usianya, maka Angka Partisipasi Murni (APM) mengukur proporsi anak yang bersekolah tepat waktu. Jika seluruh anak usia sekolah dapat bersekolah tepat waktu, maka APM akan mencapai nilai 100. Secara umum, nilai APM akan selalu lebih rendah daripada APK karena nilai APK mencakup anak di luar usia sekolah pada jenjang pendidikan yang bersangkutan. Selisih antara APK dan APM menunjukkan proporsi siswa yang terlambat atau terlalu cepat bersekolah. Keterbatasan APM adalah kemungkinan adanya </w:t>
      </w:r>
      <w:r>
        <w:rPr>
          <w:rFonts w:asciiTheme="minorHAnsi" w:hAnsiTheme="minorHAnsi" w:cs="Arial"/>
          <w:i/>
          <w:sz w:val="20"/>
          <w:szCs w:val="20"/>
        </w:rPr>
        <w:t xml:space="preserve">under estimate </w:t>
      </w:r>
      <w:r>
        <w:rPr>
          <w:rFonts w:asciiTheme="minorHAnsi" w:hAnsiTheme="minorHAnsi" w:cs="Arial"/>
          <w:sz w:val="20"/>
          <w:szCs w:val="20"/>
        </w:rPr>
        <w:t>karena adanya siswa di luar kelompok usia yang standar di tingkat pendidikan tertentu.</w:t>
      </w:r>
    </w:p>
    <w:p>
      <w:pPr>
        <w:spacing w:line="360" w:lineRule="auto"/>
        <w:ind w:left="284" w:firstLine="567"/>
        <w:jc w:val="both"/>
        <w:rPr>
          <w:rFonts w:cs="Arial"/>
          <w:sz w:val="20"/>
          <w:szCs w:val="20"/>
        </w:rPr>
      </w:pPr>
      <w:r>
        <w:rPr>
          <w:rFonts w:cs="Arial"/>
          <w:sz w:val="20"/>
          <w:szCs w:val="20"/>
        </w:rPr>
        <w:t xml:space="preserve">Secara umum, APM SD perempuan di Kalimantan Tengah pada tahun 2021 lebih tinggi daripada laki-laki. Hanya ada 3 kabupaten yang memiliki nilai APM SD laki-laki lebih tinggi daripada perempuan pada tahun 2021, yaitu Kotawaringin Timur, Kapuas, Barito Selatan, Sukamara, Gunung Mas, </w:t>
      </w:r>
      <w:r>
        <w:rPr>
          <w:rFonts w:cs="Arial"/>
          <w:sz w:val="20"/>
          <w:szCs w:val="20"/>
        </w:rPr>
        <w:lastRenderedPageBreak/>
        <w:t>dan Palangka Raya. Terdapat 5 kabupaten yang telah mencapai nilai APM SD laki-laki sebesar 100 dan dua kabupaten/kota yang nilai APM perempuan sebesar 100 pada tahun 2021. Sebagaimana diuraikan sebelumnya, nilai APM SD yang mencapai 100 tersebut mengindikasikan bahwa semua anak usia SD (7-12 tahun) sedang bersekolah tepat di jenjang pendidikan SD.</w:t>
      </w: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rFonts w:cs="Arial"/>
          <w:sz w:val="20"/>
          <w:szCs w:val="20"/>
        </w:rPr>
      </w:pPr>
    </w:p>
    <w:p>
      <w:pPr>
        <w:spacing w:line="360" w:lineRule="auto"/>
        <w:ind w:left="284" w:firstLine="567"/>
        <w:jc w:val="both"/>
        <w:rPr>
          <w:lang w:val="en-US"/>
        </w:rPr>
      </w:pPr>
    </w:p>
    <w:p>
      <w:pPr>
        <w:pStyle w:val="Caption"/>
        <w:ind w:left="1418" w:hanging="1134"/>
        <w:jc w:val="both"/>
        <w:rPr>
          <w:rFonts w:cs="Arial"/>
          <w:b/>
          <w:bCs/>
          <w:i w:val="0"/>
          <w:iCs w:val="0"/>
          <w:color w:val="auto"/>
          <w:sz w:val="20"/>
          <w:szCs w:val="20"/>
        </w:rPr>
      </w:pPr>
      <w:bookmarkStart w:id="57" w:name="_Toc117519526"/>
      <w:r>
        <w:rPr>
          <w:b/>
          <w:bCs/>
          <w:i w:val="0"/>
          <w:iCs w:val="0"/>
          <w:color w:val="auto"/>
        </w:rPr>
        <w:t xml:space="preserve">Tabel 4. </w:t>
      </w:r>
      <w:r>
        <w:rPr>
          <w:b/>
          <w:bCs/>
          <w:i w:val="0"/>
          <w:iCs w:val="0"/>
          <w:color w:val="auto"/>
        </w:rPr>
        <w:fldChar w:fldCharType="begin"/>
      </w:r>
      <w:r>
        <w:rPr>
          <w:b/>
          <w:bCs/>
          <w:i w:val="0"/>
          <w:iCs w:val="0"/>
          <w:color w:val="auto"/>
        </w:rPr>
        <w:instrText xml:space="preserve"> SEQ Tabel_4. \* ARABIC </w:instrText>
      </w:r>
      <w:r>
        <w:rPr>
          <w:b/>
          <w:bCs/>
          <w:i w:val="0"/>
          <w:iCs w:val="0"/>
          <w:color w:val="auto"/>
        </w:rPr>
        <w:fldChar w:fldCharType="separate"/>
      </w:r>
      <w:r>
        <w:rPr>
          <w:b/>
          <w:bCs/>
          <w:i w:val="0"/>
          <w:iCs w:val="0"/>
          <w:noProof/>
          <w:color w:val="auto"/>
        </w:rPr>
        <w:t>7</w:t>
      </w:r>
      <w:r>
        <w:rPr>
          <w:b/>
          <w:bCs/>
          <w:i w:val="0"/>
          <w:iCs w:val="0"/>
          <w:color w:val="auto"/>
        </w:rPr>
        <w:fldChar w:fldCharType="end"/>
      </w:r>
      <w:r>
        <w:rPr>
          <w:b/>
          <w:bCs/>
          <w:i w:val="0"/>
          <w:iCs w:val="0"/>
          <w:color w:val="auto"/>
          <w:lang w:val="en-US"/>
        </w:rPr>
        <w:t xml:space="preserve"> </w:t>
      </w:r>
      <w:r>
        <w:rPr>
          <w:b/>
          <w:bCs/>
          <w:i w:val="0"/>
          <w:iCs w:val="0"/>
          <w:color w:val="auto"/>
          <w:lang w:val="en-US"/>
        </w:rPr>
        <w:tab/>
      </w:r>
      <w:r>
        <w:rPr>
          <w:rFonts w:cs="Arial"/>
          <w:b/>
          <w:bCs/>
          <w:i w:val="0"/>
          <w:iCs w:val="0"/>
          <w:color w:val="auto"/>
          <w:sz w:val="20"/>
          <w:szCs w:val="20"/>
        </w:rPr>
        <w:t>Angka Partisipasi Murni (APM) Sekolah Dasar (SD) Menurut Kabupaten/ Kota dan Jenis Kelamin, 2019-2021</w:t>
      </w:r>
      <w:bookmarkEnd w:id="57"/>
    </w:p>
    <w:tbl>
      <w:tblPr>
        <w:tblW w:w="6333"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726"/>
        <w:gridCol w:w="649"/>
        <w:gridCol w:w="791"/>
        <w:gridCol w:w="793"/>
        <w:gridCol w:w="790"/>
        <w:gridCol w:w="791"/>
        <w:gridCol w:w="793"/>
      </w:tblGrid>
      <w:tr>
        <w:trPr>
          <w:cantSplit/>
          <w:trHeight w:val="277"/>
        </w:trPr>
        <w:tc>
          <w:tcPr>
            <w:tcW w:w="1726" w:type="dxa"/>
            <w:vMerge w:val="restart"/>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Kabupaten/Kota</w:t>
            </w:r>
          </w:p>
        </w:tc>
        <w:tc>
          <w:tcPr>
            <w:tcW w:w="2233"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Laki-laki</w:t>
            </w:r>
          </w:p>
        </w:tc>
        <w:tc>
          <w:tcPr>
            <w:tcW w:w="2374" w:type="dxa"/>
            <w:gridSpan w:val="3"/>
            <w:shd w:val="clear" w:color="auto" w:fill="38003D"/>
            <w:vAlign w:val="center"/>
            <w:hideMark/>
          </w:tcPr>
          <w:p>
            <w:pPr>
              <w:spacing w:after="0" w:line="240" w:lineRule="auto"/>
              <w:jc w:val="center"/>
              <w:rPr>
                <w:b/>
                <w:bCs/>
                <w:snapToGrid w:val="0"/>
                <w:color w:val="FFFFFF" w:themeColor="background1"/>
                <w:sz w:val="18"/>
                <w:szCs w:val="18"/>
              </w:rPr>
            </w:pPr>
            <w:r>
              <w:rPr>
                <w:b/>
                <w:bCs/>
                <w:snapToGrid w:val="0"/>
                <w:color w:val="FFFFFF" w:themeColor="background1"/>
                <w:sz w:val="18"/>
                <w:szCs w:val="18"/>
              </w:rPr>
              <w:t>Perempuan</w:t>
            </w:r>
          </w:p>
        </w:tc>
      </w:tr>
      <w:tr>
        <w:trPr>
          <w:cantSplit/>
          <w:trHeight w:val="277"/>
        </w:trPr>
        <w:tc>
          <w:tcPr>
            <w:tcW w:w="1726" w:type="dxa"/>
            <w:vMerge/>
            <w:shd w:val="clear" w:color="auto" w:fill="38003D"/>
            <w:vAlign w:val="center"/>
            <w:hideMark/>
          </w:tcPr>
          <w:p>
            <w:pPr>
              <w:spacing w:after="0" w:line="240" w:lineRule="auto"/>
              <w:rPr>
                <w:b/>
                <w:bCs/>
                <w:snapToGrid w:val="0"/>
                <w:color w:val="FFFFFF" w:themeColor="background1"/>
                <w:sz w:val="18"/>
                <w:szCs w:val="18"/>
              </w:rPr>
            </w:pPr>
          </w:p>
        </w:tc>
        <w:tc>
          <w:tcPr>
            <w:tcW w:w="649"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79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9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c>
          <w:tcPr>
            <w:tcW w:w="790"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2019</w:t>
            </w:r>
          </w:p>
        </w:tc>
        <w:tc>
          <w:tcPr>
            <w:tcW w:w="79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2020</w:t>
            </w:r>
          </w:p>
        </w:tc>
        <w:tc>
          <w:tcPr>
            <w:tcW w:w="791" w:type="dxa"/>
            <w:shd w:val="clear" w:color="auto" w:fill="38003D"/>
            <w:vAlign w:val="center"/>
            <w:hideMark/>
          </w:tcPr>
          <w:p>
            <w:pPr>
              <w:spacing w:after="0" w:line="240" w:lineRule="auto"/>
              <w:jc w:val="center"/>
              <w:rPr>
                <w:rFonts w:cstheme="minorHAnsi"/>
                <w:b/>
                <w:bCs/>
                <w:snapToGrid w:val="0"/>
                <w:color w:val="FFFFFF" w:themeColor="background1"/>
                <w:sz w:val="18"/>
                <w:szCs w:val="18"/>
              </w:rPr>
            </w:pPr>
            <w:r>
              <w:rPr>
                <w:b/>
                <w:bCs/>
                <w:snapToGrid w:val="0"/>
                <w:color w:val="FFFFFF" w:themeColor="background1"/>
                <w:sz w:val="18"/>
                <w:szCs w:val="18"/>
              </w:rPr>
              <w:t>2021</w:t>
            </w:r>
          </w:p>
        </w:tc>
      </w:tr>
      <w:tr>
        <w:trPr>
          <w:cantSplit/>
          <w:trHeight w:val="158"/>
        </w:trPr>
        <w:tc>
          <w:tcPr>
            <w:tcW w:w="1726"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18"/>
                <w:szCs w:val="18"/>
              </w:rPr>
            </w:pPr>
            <w:r>
              <w:rPr>
                <w:snapToGrid w:val="0"/>
                <w:color w:val="FFFFFF" w:themeColor="background1"/>
                <w:sz w:val="18"/>
                <w:szCs w:val="18"/>
              </w:rPr>
              <w:t>(1)</w:t>
            </w:r>
          </w:p>
        </w:tc>
        <w:tc>
          <w:tcPr>
            <w:tcW w:w="649"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(2)</w:t>
            </w:r>
          </w:p>
        </w:tc>
        <w:tc>
          <w:tcPr>
            <w:tcW w:w="79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(3)</w:t>
            </w:r>
          </w:p>
        </w:tc>
        <w:tc>
          <w:tcPr>
            <w:tcW w:w="79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(4)</w:t>
            </w:r>
          </w:p>
        </w:tc>
        <w:tc>
          <w:tcPr>
            <w:tcW w:w="790"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(5)</w:t>
            </w:r>
          </w:p>
        </w:tc>
        <w:tc>
          <w:tcPr>
            <w:tcW w:w="79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(6)</w:t>
            </w:r>
          </w:p>
        </w:tc>
        <w:tc>
          <w:tcPr>
            <w:tcW w:w="79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18"/>
                <w:szCs w:val="18"/>
              </w:rPr>
            </w:pPr>
            <w:r>
              <w:rPr>
                <w:rFonts w:cstheme="minorHAnsi"/>
                <w:snapToGrid w:val="0"/>
                <w:color w:val="FFFFFF" w:themeColor="background1"/>
                <w:sz w:val="18"/>
                <w:szCs w:val="18"/>
              </w:rPr>
              <w:t>(7)</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99,52</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99,08</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98,90</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98,10</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97,46</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98,28</w:t>
            </w:r>
          </w:p>
        </w:tc>
        <w:tc>
          <w:tcPr>
            <w:tcW w:w="7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96,80</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98,48</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98,29</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99,41</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98,94</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98,30</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99,79</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97,81</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98,32</w:t>
            </w:r>
          </w:p>
        </w:tc>
        <w:tc>
          <w:tcPr>
            <w:tcW w:w="7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98,25</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99,31</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99,03</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99,75</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99,25</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98,84</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98,98</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97,12</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98,67</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97,15</w:t>
            </w:r>
          </w:p>
        </w:tc>
        <w:tc>
          <w:tcPr>
            <w:tcW w:w="7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99,40</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98,06</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99,35</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99,91</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98,26</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99,07</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99,59</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98,12</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99,34</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99,87</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99,79</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98,69</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98,28</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99,99</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99,69</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99,75</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99,56</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99,54</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99,07</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99,57</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98,46</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98,45</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98,46</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98,92</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99,72</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98,32</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98,34</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99,43</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98,43</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97,79</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99,02</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99,03</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99,68</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98,60</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98,24</w:t>
            </w:r>
          </w:p>
        </w:tc>
      </w:tr>
      <w:tr>
        <w:trPr>
          <w:cantSplit/>
          <w:trHeight w:val="238"/>
        </w:trPr>
        <w:tc>
          <w:tcPr>
            <w:tcW w:w="17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64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99,89</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98,99</w:t>
            </w:r>
          </w:p>
        </w:tc>
        <w:tc>
          <w:tcPr>
            <w:tcW w:w="7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99,95</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99,05</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224"/>
        </w:trPr>
        <w:tc>
          <w:tcPr>
            <w:tcW w:w="17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6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99,25</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99,04</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99,00</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99,03</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99,18</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99,02</w:t>
            </w:r>
          </w:p>
        </w:tc>
      </w:tr>
    </w:tbl>
    <w:p>
      <w:pPr>
        <w:pStyle w:val="NormalWeb"/>
        <w:spacing w:before="0" w:beforeAutospacing="0" w:after="0" w:afterAutospacing="0"/>
        <w:ind w:left="284"/>
        <w:jc w:val="both"/>
        <w:rPr>
          <w:rFonts w:asciiTheme="minorHAnsi" w:hAnsiTheme="minorHAnsi" w:cs="Calibri"/>
          <w:b/>
          <w:bCs/>
          <w:i/>
          <w:sz w:val="20"/>
          <w:szCs w:val="20"/>
        </w:rPr>
      </w:pPr>
      <w:r>
        <w:rPr>
          <w:rFonts w:asciiTheme="minorHAnsi" w:hAnsiTheme="minorHAnsi" w:cs="Arial"/>
          <w:i/>
          <w:sz w:val="20"/>
          <w:szCs w:val="20"/>
        </w:rPr>
        <w:t>Sumber: BPS, Susenas 2019-2021</w:t>
      </w:r>
    </w:p>
    <w:p>
      <w:pPr>
        <w:pStyle w:val="BodyTextIndent2"/>
        <w:spacing w:before="240" w:after="0" w:line="360" w:lineRule="auto"/>
        <w:ind w:left="284" w:right="16" w:firstLine="567"/>
        <w:jc w:val="both"/>
        <w:rPr>
          <w:rFonts w:asciiTheme="minorHAnsi" w:hAnsiTheme="minorHAnsi" w:cs="Arial"/>
          <w:sz w:val="20"/>
          <w:szCs w:val="20"/>
          <w:lang w:val="id-ID"/>
        </w:rPr>
      </w:pPr>
      <w:r>
        <w:rPr>
          <w:rFonts w:asciiTheme="minorHAnsi" w:hAnsiTheme="minorHAnsi" w:cs="Arial"/>
          <w:sz w:val="20"/>
          <w:szCs w:val="20"/>
        </w:rPr>
        <w:t>Hal yang sama terlihat</w:t>
      </w:r>
      <w:r>
        <w:rPr>
          <w:rFonts w:asciiTheme="minorHAnsi" w:hAnsiTheme="minorHAnsi" w:cs="Arial"/>
          <w:sz w:val="20"/>
          <w:szCs w:val="20"/>
          <w:lang w:val="id-ID"/>
        </w:rPr>
        <w:t xml:space="preserve"> pada </w:t>
      </w:r>
      <w:r>
        <w:rPr>
          <w:rFonts w:asciiTheme="minorHAnsi" w:hAnsiTheme="minorHAnsi" w:cs="Arial"/>
          <w:sz w:val="20"/>
          <w:szCs w:val="20"/>
        </w:rPr>
        <w:t xml:space="preserve">nilai </w:t>
      </w:r>
      <w:r>
        <w:rPr>
          <w:rFonts w:asciiTheme="minorHAnsi" w:hAnsiTheme="minorHAnsi" w:cs="Arial"/>
          <w:sz w:val="20"/>
          <w:szCs w:val="20"/>
          <w:lang w:val="id-ID"/>
        </w:rPr>
        <w:t>APM SMP, di mana pada tahun 20</w:t>
      </w:r>
      <w:r>
        <w:rPr>
          <w:rFonts w:asciiTheme="minorHAnsi" w:hAnsiTheme="minorHAnsi" w:cs="Arial"/>
          <w:sz w:val="20"/>
          <w:szCs w:val="20"/>
        </w:rPr>
        <w:t>21</w:t>
      </w:r>
      <w:r>
        <w:rPr>
          <w:rFonts w:asciiTheme="minorHAnsi" w:hAnsiTheme="minorHAnsi" w:cs="Arial"/>
          <w:sz w:val="20"/>
          <w:szCs w:val="20"/>
          <w:lang w:val="id-ID"/>
        </w:rPr>
        <w:t xml:space="preserve"> nilai APM SMP perempuan lebih tinggi daripada APM SMP laki-laki. Hal ini menunjukkan bahwa penduduk perempuan usia 13-15 tahun yang tepat waktu sedang bersekolah SMP lebih banyak daripada penduduk laki-laki. Kondisi ini juga terjadi di </w:t>
      </w:r>
      <w:r>
        <w:rPr>
          <w:rFonts w:asciiTheme="minorHAnsi" w:hAnsiTheme="minorHAnsi" w:cs="Arial"/>
          <w:sz w:val="20"/>
          <w:szCs w:val="20"/>
        </w:rPr>
        <w:t>7</w:t>
      </w:r>
      <w:r>
        <w:rPr>
          <w:rFonts w:asciiTheme="minorHAnsi" w:hAnsiTheme="minorHAnsi" w:cs="Arial"/>
          <w:sz w:val="20"/>
          <w:szCs w:val="20"/>
          <w:lang w:val="id-ID"/>
        </w:rPr>
        <w:t xml:space="preserve"> kabupaten, yakni Kotawaringin Barat, Barito Selatan, </w:t>
      </w:r>
      <w:r>
        <w:rPr>
          <w:rFonts w:asciiTheme="minorHAnsi" w:hAnsiTheme="minorHAnsi" w:cs="Arial"/>
          <w:sz w:val="20"/>
          <w:szCs w:val="20"/>
        </w:rPr>
        <w:t xml:space="preserve">Barito Utara, Seruyan, </w:t>
      </w:r>
      <w:r>
        <w:rPr>
          <w:rFonts w:asciiTheme="minorHAnsi" w:hAnsiTheme="minorHAnsi" w:cs="Arial"/>
          <w:sz w:val="20"/>
          <w:szCs w:val="20"/>
          <w:lang w:val="id-ID"/>
        </w:rPr>
        <w:t xml:space="preserve">Katingan, Gunung Mas, </w:t>
      </w:r>
      <w:r>
        <w:rPr>
          <w:rFonts w:asciiTheme="minorHAnsi" w:hAnsiTheme="minorHAnsi" w:cs="Arial"/>
          <w:sz w:val="20"/>
          <w:szCs w:val="20"/>
        </w:rPr>
        <w:t xml:space="preserve">dan </w:t>
      </w:r>
      <w:r>
        <w:rPr>
          <w:rFonts w:asciiTheme="minorHAnsi" w:hAnsiTheme="minorHAnsi" w:cs="Arial"/>
          <w:sz w:val="20"/>
          <w:szCs w:val="20"/>
          <w:lang w:val="id-ID"/>
        </w:rPr>
        <w:t>Murung Raya.</w:t>
      </w:r>
    </w:p>
    <w:p>
      <w:pPr>
        <w:pStyle w:val="BodyTextIndent2"/>
        <w:spacing w:before="240" w:after="0" w:line="360" w:lineRule="auto"/>
        <w:ind w:left="284" w:right="16" w:firstLine="567"/>
        <w:jc w:val="both"/>
        <w:rPr>
          <w:rFonts w:asciiTheme="minorHAnsi" w:hAnsiTheme="minorHAnsi" w:cs="Calibri"/>
          <w:sz w:val="20"/>
          <w:szCs w:val="20"/>
          <w:lang w:val="id-ID"/>
        </w:rPr>
      </w:pPr>
    </w:p>
    <w:p>
      <w:pPr>
        <w:pStyle w:val="Caption"/>
        <w:ind w:left="1418" w:hanging="1134"/>
        <w:jc w:val="both"/>
        <w:rPr>
          <w:rFonts w:cs="Arial"/>
          <w:b/>
          <w:bCs/>
          <w:i w:val="0"/>
          <w:iCs w:val="0"/>
          <w:color w:val="auto"/>
          <w:sz w:val="20"/>
          <w:szCs w:val="20"/>
        </w:rPr>
      </w:pPr>
      <w:bookmarkStart w:id="58" w:name="_Toc117519527"/>
      <w:r>
        <w:rPr>
          <w:b/>
          <w:bCs/>
          <w:i w:val="0"/>
          <w:iCs w:val="0"/>
          <w:color w:val="auto"/>
          <w:sz w:val="20"/>
          <w:szCs w:val="20"/>
        </w:rPr>
        <w:lastRenderedPageBreak/>
        <w:t xml:space="preserve">Tabel 4. </w:t>
      </w:r>
      <w:r>
        <w:rPr>
          <w:b/>
          <w:bCs/>
          <w:i w:val="0"/>
          <w:iCs w:val="0"/>
          <w:color w:val="auto"/>
          <w:sz w:val="20"/>
          <w:szCs w:val="20"/>
        </w:rPr>
        <w:fldChar w:fldCharType="begin"/>
      </w:r>
      <w:r>
        <w:rPr>
          <w:b/>
          <w:bCs/>
          <w:i w:val="0"/>
          <w:iCs w:val="0"/>
          <w:color w:val="auto"/>
          <w:sz w:val="20"/>
          <w:szCs w:val="20"/>
        </w:rPr>
        <w:instrText xml:space="preserve"> SEQ Tabel_4. \* ARABIC </w:instrText>
      </w:r>
      <w:r>
        <w:rPr>
          <w:b/>
          <w:bCs/>
          <w:i w:val="0"/>
          <w:iCs w:val="0"/>
          <w:color w:val="auto"/>
          <w:sz w:val="20"/>
          <w:szCs w:val="20"/>
        </w:rPr>
        <w:fldChar w:fldCharType="separate"/>
      </w:r>
      <w:r>
        <w:rPr>
          <w:b/>
          <w:bCs/>
          <w:i w:val="0"/>
          <w:iCs w:val="0"/>
          <w:noProof/>
          <w:color w:val="auto"/>
          <w:sz w:val="20"/>
          <w:szCs w:val="20"/>
        </w:rPr>
        <w:t>8</w:t>
      </w:r>
      <w:r>
        <w:rPr>
          <w:b/>
          <w:bCs/>
          <w:i w:val="0"/>
          <w:iCs w:val="0"/>
          <w:color w:val="auto"/>
          <w:sz w:val="20"/>
          <w:szCs w:val="20"/>
        </w:rPr>
        <w:fldChar w:fldCharType="end"/>
      </w:r>
      <w:r>
        <w:rPr>
          <w:b/>
          <w:bCs/>
          <w:i w:val="0"/>
          <w:iCs w:val="0"/>
          <w:color w:val="auto"/>
          <w:sz w:val="20"/>
          <w:szCs w:val="20"/>
        </w:rPr>
        <w:tab/>
      </w:r>
      <w:r>
        <w:rPr>
          <w:b/>
          <w:bCs/>
          <w:i w:val="0"/>
          <w:iCs w:val="0"/>
          <w:color w:val="auto"/>
          <w:sz w:val="20"/>
          <w:szCs w:val="20"/>
        </w:rPr>
        <w:tab/>
      </w:r>
      <w:r>
        <w:rPr>
          <w:rFonts w:cs="Arial"/>
          <w:b/>
          <w:bCs/>
          <w:i w:val="0"/>
          <w:iCs w:val="0"/>
          <w:color w:val="auto"/>
          <w:sz w:val="20"/>
          <w:szCs w:val="20"/>
        </w:rPr>
        <w:t>Angka Partisipasi Murni (APM) Sekolah Menengah Pertama (SMP) Menurut Kabupaten/Kota dan Jenis Kelamin, 2019-2021</w:t>
      </w:r>
      <w:bookmarkEnd w:id="58"/>
    </w:p>
    <w:tbl>
      <w:tblPr>
        <w:tblW w:w="6096"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20"/>
        <w:gridCol w:w="762"/>
        <w:gridCol w:w="763"/>
        <w:gridCol w:w="764"/>
        <w:gridCol w:w="761"/>
        <w:gridCol w:w="762"/>
        <w:gridCol w:w="764"/>
      </w:tblGrid>
      <w:tr>
        <w:trPr>
          <w:cantSplit/>
          <w:trHeight w:val="318"/>
        </w:trPr>
        <w:tc>
          <w:tcPr>
            <w:tcW w:w="1520" w:type="dxa"/>
            <w:vMerge w:val="restart"/>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Kabupaten/Kota</w:t>
            </w:r>
          </w:p>
        </w:tc>
        <w:tc>
          <w:tcPr>
            <w:tcW w:w="2289" w:type="dxa"/>
            <w:gridSpan w:val="3"/>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Laki-laki</w:t>
            </w:r>
          </w:p>
        </w:tc>
        <w:tc>
          <w:tcPr>
            <w:tcW w:w="2287" w:type="dxa"/>
            <w:gridSpan w:val="3"/>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Perempuan</w:t>
            </w:r>
          </w:p>
        </w:tc>
      </w:tr>
      <w:tr>
        <w:trPr>
          <w:cantSplit/>
          <w:trHeight w:val="318"/>
        </w:trPr>
        <w:tc>
          <w:tcPr>
            <w:tcW w:w="1520" w:type="dxa"/>
            <w:vMerge/>
            <w:shd w:val="clear" w:color="auto" w:fill="38003D"/>
            <w:vAlign w:val="center"/>
            <w:hideMark/>
          </w:tcPr>
          <w:p>
            <w:pPr>
              <w:spacing w:after="0" w:line="240" w:lineRule="auto"/>
              <w:rPr>
                <w:b/>
                <w:bCs/>
                <w:snapToGrid w:val="0"/>
                <w:color w:val="FFFFFF" w:themeColor="background1"/>
                <w:sz w:val="20"/>
                <w:szCs w:val="20"/>
              </w:rPr>
            </w:pPr>
          </w:p>
        </w:tc>
        <w:tc>
          <w:tcPr>
            <w:tcW w:w="762" w:type="dxa"/>
            <w:shd w:val="clear" w:color="auto" w:fill="38003D"/>
            <w:vAlign w:val="center"/>
            <w:hideMark/>
          </w:tcPr>
          <w:p>
            <w:pPr>
              <w:spacing w:after="0" w:line="240" w:lineRule="auto"/>
              <w:jc w:val="center"/>
              <w:rPr>
                <w:rFonts w:cstheme="minorHAnsi"/>
                <w:b/>
                <w:bCs/>
                <w:snapToGrid w:val="0"/>
                <w:color w:val="FFFFFF" w:themeColor="background1"/>
                <w:sz w:val="20"/>
                <w:szCs w:val="20"/>
              </w:rPr>
            </w:pPr>
            <w:r>
              <w:rPr>
                <w:b/>
                <w:bCs/>
                <w:snapToGrid w:val="0"/>
                <w:color w:val="FFFFFF" w:themeColor="background1"/>
                <w:sz w:val="20"/>
                <w:szCs w:val="20"/>
              </w:rPr>
              <w:t>2019</w:t>
            </w:r>
          </w:p>
        </w:tc>
        <w:tc>
          <w:tcPr>
            <w:tcW w:w="763" w:type="dxa"/>
            <w:shd w:val="clear" w:color="auto" w:fill="38003D"/>
            <w:vAlign w:val="center"/>
            <w:hideMark/>
          </w:tcPr>
          <w:p>
            <w:pPr>
              <w:spacing w:after="0" w:line="240" w:lineRule="auto"/>
              <w:jc w:val="center"/>
              <w:rPr>
                <w:rFonts w:cstheme="minorHAnsi"/>
                <w:b/>
                <w:bCs/>
                <w:snapToGrid w:val="0"/>
                <w:color w:val="FFFFFF" w:themeColor="background1"/>
                <w:sz w:val="20"/>
                <w:szCs w:val="20"/>
              </w:rPr>
            </w:pPr>
            <w:r>
              <w:rPr>
                <w:b/>
                <w:bCs/>
                <w:snapToGrid w:val="0"/>
                <w:color w:val="FFFFFF" w:themeColor="background1"/>
                <w:sz w:val="20"/>
                <w:szCs w:val="20"/>
              </w:rPr>
              <w:t>2020</w:t>
            </w:r>
          </w:p>
        </w:tc>
        <w:tc>
          <w:tcPr>
            <w:tcW w:w="764" w:type="dxa"/>
            <w:shd w:val="clear" w:color="auto" w:fill="38003D"/>
            <w:vAlign w:val="center"/>
            <w:hideMark/>
          </w:tcPr>
          <w:p>
            <w:pPr>
              <w:spacing w:after="0" w:line="240" w:lineRule="auto"/>
              <w:jc w:val="center"/>
              <w:rPr>
                <w:rFonts w:cstheme="minorHAnsi"/>
                <w:b/>
                <w:bCs/>
                <w:snapToGrid w:val="0"/>
                <w:color w:val="FFFFFF" w:themeColor="background1"/>
                <w:sz w:val="20"/>
                <w:szCs w:val="20"/>
              </w:rPr>
            </w:pPr>
            <w:r>
              <w:rPr>
                <w:b/>
                <w:bCs/>
                <w:snapToGrid w:val="0"/>
                <w:color w:val="FFFFFF" w:themeColor="background1"/>
                <w:sz w:val="20"/>
                <w:szCs w:val="20"/>
              </w:rPr>
              <w:t>2021</w:t>
            </w:r>
          </w:p>
        </w:tc>
        <w:tc>
          <w:tcPr>
            <w:tcW w:w="761" w:type="dxa"/>
            <w:shd w:val="clear" w:color="auto" w:fill="38003D"/>
            <w:vAlign w:val="center"/>
            <w:hideMark/>
          </w:tcPr>
          <w:p>
            <w:pPr>
              <w:spacing w:after="0" w:line="240" w:lineRule="auto"/>
              <w:jc w:val="center"/>
              <w:rPr>
                <w:rFonts w:cstheme="minorHAnsi"/>
                <w:b/>
                <w:bCs/>
                <w:snapToGrid w:val="0"/>
                <w:color w:val="FFFFFF" w:themeColor="background1"/>
                <w:sz w:val="20"/>
                <w:szCs w:val="20"/>
              </w:rPr>
            </w:pPr>
            <w:r>
              <w:rPr>
                <w:b/>
                <w:bCs/>
                <w:snapToGrid w:val="0"/>
                <w:color w:val="FFFFFF" w:themeColor="background1"/>
                <w:sz w:val="20"/>
                <w:szCs w:val="20"/>
              </w:rPr>
              <w:t>2019</w:t>
            </w:r>
          </w:p>
        </w:tc>
        <w:tc>
          <w:tcPr>
            <w:tcW w:w="762" w:type="dxa"/>
            <w:shd w:val="clear" w:color="auto" w:fill="38003D"/>
            <w:vAlign w:val="center"/>
            <w:hideMark/>
          </w:tcPr>
          <w:p>
            <w:pPr>
              <w:spacing w:after="0" w:line="240" w:lineRule="auto"/>
              <w:jc w:val="center"/>
              <w:rPr>
                <w:rFonts w:cstheme="minorHAnsi"/>
                <w:b/>
                <w:bCs/>
                <w:snapToGrid w:val="0"/>
                <w:color w:val="FFFFFF" w:themeColor="background1"/>
                <w:sz w:val="20"/>
                <w:szCs w:val="20"/>
              </w:rPr>
            </w:pPr>
            <w:r>
              <w:rPr>
                <w:b/>
                <w:bCs/>
                <w:snapToGrid w:val="0"/>
                <w:color w:val="FFFFFF" w:themeColor="background1"/>
                <w:sz w:val="20"/>
                <w:szCs w:val="20"/>
              </w:rPr>
              <w:t>2020</w:t>
            </w:r>
          </w:p>
        </w:tc>
        <w:tc>
          <w:tcPr>
            <w:tcW w:w="764" w:type="dxa"/>
            <w:shd w:val="clear" w:color="auto" w:fill="38003D"/>
            <w:vAlign w:val="center"/>
            <w:hideMark/>
          </w:tcPr>
          <w:p>
            <w:pPr>
              <w:spacing w:after="0" w:line="240" w:lineRule="auto"/>
              <w:jc w:val="center"/>
              <w:rPr>
                <w:rFonts w:cstheme="minorHAnsi"/>
                <w:b/>
                <w:bCs/>
                <w:snapToGrid w:val="0"/>
                <w:color w:val="FFFFFF" w:themeColor="background1"/>
                <w:sz w:val="20"/>
                <w:szCs w:val="20"/>
              </w:rPr>
            </w:pPr>
            <w:r>
              <w:rPr>
                <w:b/>
                <w:bCs/>
                <w:snapToGrid w:val="0"/>
                <w:color w:val="FFFFFF" w:themeColor="background1"/>
                <w:sz w:val="20"/>
                <w:szCs w:val="20"/>
              </w:rPr>
              <w:t>2021</w:t>
            </w:r>
          </w:p>
        </w:tc>
      </w:tr>
      <w:tr>
        <w:trPr>
          <w:cantSplit/>
          <w:trHeight w:val="182"/>
        </w:trPr>
        <w:tc>
          <w:tcPr>
            <w:tcW w:w="1520"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(1)</w:t>
            </w:r>
          </w:p>
        </w:tc>
        <w:tc>
          <w:tcPr>
            <w:tcW w:w="762"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20"/>
                <w:szCs w:val="20"/>
              </w:rPr>
            </w:pPr>
            <w:r>
              <w:rPr>
                <w:rFonts w:cstheme="minorHAnsi"/>
                <w:snapToGrid w:val="0"/>
                <w:color w:val="FFFFFF" w:themeColor="background1"/>
                <w:sz w:val="20"/>
                <w:szCs w:val="20"/>
              </w:rPr>
              <w:t>(2)</w:t>
            </w:r>
          </w:p>
        </w:tc>
        <w:tc>
          <w:tcPr>
            <w:tcW w:w="763"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20"/>
                <w:szCs w:val="20"/>
              </w:rPr>
            </w:pPr>
            <w:r>
              <w:rPr>
                <w:rFonts w:cstheme="minorHAnsi"/>
                <w:snapToGrid w:val="0"/>
                <w:color w:val="FFFFFF" w:themeColor="background1"/>
                <w:sz w:val="20"/>
                <w:szCs w:val="20"/>
              </w:rPr>
              <w:t>(3)</w:t>
            </w:r>
          </w:p>
        </w:tc>
        <w:tc>
          <w:tcPr>
            <w:tcW w:w="764"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20"/>
                <w:szCs w:val="20"/>
              </w:rPr>
            </w:pPr>
            <w:r>
              <w:rPr>
                <w:rFonts w:cstheme="minorHAnsi"/>
                <w:snapToGrid w:val="0"/>
                <w:color w:val="FFFFFF" w:themeColor="background1"/>
                <w:sz w:val="20"/>
                <w:szCs w:val="20"/>
              </w:rPr>
              <w:t>(4)</w:t>
            </w:r>
          </w:p>
        </w:tc>
        <w:tc>
          <w:tcPr>
            <w:tcW w:w="761"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20"/>
                <w:szCs w:val="20"/>
              </w:rPr>
            </w:pPr>
            <w:r>
              <w:rPr>
                <w:rFonts w:cstheme="minorHAnsi"/>
                <w:snapToGrid w:val="0"/>
                <w:color w:val="FFFFFF" w:themeColor="background1"/>
                <w:sz w:val="20"/>
                <w:szCs w:val="20"/>
              </w:rPr>
              <w:t>(5)</w:t>
            </w:r>
          </w:p>
        </w:tc>
        <w:tc>
          <w:tcPr>
            <w:tcW w:w="762"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20"/>
                <w:szCs w:val="20"/>
              </w:rPr>
            </w:pPr>
            <w:r>
              <w:rPr>
                <w:rFonts w:cstheme="minorHAnsi"/>
                <w:snapToGrid w:val="0"/>
                <w:color w:val="FFFFFF" w:themeColor="background1"/>
                <w:sz w:val="20"/>
                <w:szCs w:val="20"/>
              </w:rPr>
              <w:t>(6)</w:t>
            </w:r>
          </w:p>
        </w:tc>
        <w:tc>
          <w:tcPr>
            <w:tcW w:w="764" w:type="dxa"/>
            <w:tcBorders>
              <w:bottom w:val="single" w:sz="4" w:space="0" w:color="auto"/>
            </w:tcBorders>
            <w:shd w:val="clear" w:color="auto" w:fill="38003D"/>
            <w:vAlign w:val="center"/>
            <w:hideMark/>
          </w:tcPr>
          <w:p>
            <w:pPr>
              <w:spacing w:after="0" w:line="240" w:lineRule="auto"/>
              <w:jc w:val="center"/>
              <w:rPr>
                <w:rFonts w:cstheme="minorHAnsi"/>
                <w:snapToGrid w:val="0"/>
                <w:color w:val="FFFFFF" w:themeColor="background1"/>
                <w:sz w:val="20"/>
                <w:szCs w:val="20"/>
              </w:rPr>
            </w:pPr>
            <w:r>
              <w:rPr>
                <w:rFonts w:cstheme="minorHAnsi"/>
                <w:snapToGrid w:val="0"/>
                <w:color w:val="FFFFFF" w:themeColor="background1"/>
                <w:sz w:val="20"/>
                <w:szCs w:val="20"/>
              </w:rPr>
              <w:t>(7)</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72,27</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76,57</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73,06</w:t>
            </w:r>
          </w:p>
        </w:tc>
        <w:tc>
          <w:tcPr>
            <w:tcW w:w="7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86,34</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83,05</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87,84</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74,09</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76,31</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79,85</w:t>
            </w:r>
          </w:p>
        </w:tc>
        <w:tc>
          <w:tcPr>
            <w:tcW w:w="7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73,49</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79,55</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77,34</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82,08</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78,01</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77,37</w:t>
            </w:r>
          </w:p>
        </w:tc>
        <w:tc>
          <w:tcPr>
            <w:tcW w:w="7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66,39</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70,97</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73,37</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88,79</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91,73</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89,52</w:t>
            </w:r>
          </w:p>
        </w:tc>
        <w:tc>
          <w:tcPr>
            <w:tcW w:w="7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95,59</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92,28</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94,48</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81,09</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80,84</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83,37</w:t>
            </w:r>
          </w:p>
        </w:tc>
        <w:tc>
          <w:tcPr>
            <w:tcW w:w="7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89,19</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88,55</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85,31</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58,38</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61,27</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70,85</w:t>
            </w:r>
          </w:p>
        </w:tc>
        <w:tc>
          <w:tcPr>
            <w:tcW w:w="7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82,13</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78,17</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69,78</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86,26</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86,48</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91,15</w:t>
            </w:r>
          </w:p>
        </w:tc>
        <w:tc>
          <w:tcPr>
            <w:tcW w:w="7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89,51</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90,24</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86,22</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72,30</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81,11</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78,63</w:t>
            </w:r>
          </w:p>
        </w:tc>
        <w:tc>
          <w:tcPr>
            <w:tcW w:w="7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88,99</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76,49</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81,07</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73,10</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76,27</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67,83</w:t>
            </w:r>
          </w:p>
        </w:tc>
        <w:tc>
          <w:tcPr>
            <w:tcW w:w="7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79,26</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75,62</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84,15</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79,47</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85,34</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82,47</w:t>
            </w:r>
          </w:p>
        </w:tc>
        <w:tc>
          <w:tcPr>
            <w:tcW w:w="7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78,62</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75,67</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76,65</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87,33</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78,62</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74,88</w:t>
            </w:r>
          </w:p>
        </w:tc>
        <w:tc>
          <w:tcPr>
            <w:tcW w:w="7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71,65</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79,59</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83,12</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80,41</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80,26</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78,71</w:t>
            </w:r>
          </w:p>
        </w:tc>
        <w:tc>
          <w:tcPr>
            <w:tcW w:w="7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69,78</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72,14</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74,47</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70,90</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82,21</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75,69</w:t>
            </w:r>
          </w:p>
        </w:tc>
        <w:tc>
          <w:tcPr>
            <w:tcW w:w="7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80,17</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71,31</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76,08</w:t>
            </w:r>
          </w:p>
        </w:tc>
      </w:tr>
      <w:tr>
        <w:trPr>
          <w:cantSplit/>
          <w:trHeight w:val="272"/>
        </w:trPr>
        <w:tc>
          <w:tcPr>
            <w:tcW w:w="15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75,77</w:t>
            </w:r>
          </w:p>
        </w:tc>
        <w:tc>
          <w:tcPr>
            <w:tcW w:w="7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74,82</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76,29</w:t>
            </w:r>
          </w:p>
        </w:tc>
        <w:tc>
          <w:tcPr>
            <w:tcW w:w="7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72,02</w:t>
            </w:r>
          </w:p>
        </w:tc>
        <w:tc>
          <w:tcPr>
            <w:tcW w:w="7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74,87</w:t>
            </w:r>
          </w:p>
        </w:tc>
        <w:tc>
          <w:tcPr>
            <w:tcW w:w="7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74,37</w:t>
            </w:r>
          </w:p>
        </w:tc>
      </w:tr>
      <w:tr>
        <w:trPr>
          <w:cantSplit/>
          <w:trHeight w:val="318"/>
        </w:trPr>
        <w:tc>
          <w:tcPr>
            <w:tcW w:w="15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77,26</w:t>
            </w:r>
          </w:p>
        </w:tc>
        <w:tc>
          <w:tcPr>
            <w:tcW w:w="76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78,60</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78,08</w:t>
            </w:r>
          </w:p>
        </w:tc>
        <w:tc>
          <w:tcPr>
            <w:tcW w:w="7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78,20</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78,29</w:t>
            </w:r>
          </w:p>
        </w:tc>
        <w:tc>
          <w:tcPr>
            <w:tcW w:w="7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sz w:val="18"/>
                <w:szCs w:val="18"/>
              </w:rPr>
            </w:pPr>
            <w:r>
              <w:rPr>
                <w:rFonts w:cstheme="minorHAnsi"/>
                <w:b/>
                <w:bCs/>
                <w:sz w:val="18"/>
                <w:szCs w:val="18"/>
              </w:rPr>
              <w:t>79,53</w:t>
            </w:r>
          </w:p>
        </w:tc>
      </w:tr>
    </w:tbl>
    <w:p>
      <w:pPr>
        <w:pStyle w:val="BodyTextIndent2"/>
        <w:spacing w:after="0" w:line="240" w:lineRule="auto"/>
        <w:ind w:left="284" w:right="-425"/>
        <w:rPr>
          <w:rFonts w:asciiTheme="minorHAnsi" w:hAnsiTheme="minorHAnsi" w:cs="Calibri"/>
          <w:bCs/>
          <w:i/>
          <w:sz w:val="20"/>
          <w:szCs w:val="20"/>
        </w:rPr>
      </w:pPr>
      <w:r>
        <w:rPr>
          <w:rFonts w:asciiTheme="minorHAnsi" w:hAnsiTheme="minorHAnsi" w:cs="Arial"/>
          <w:i/>
          <w:sz w:val="20"/>
          <w:szCs w:val="20"/>
          <w:lang w:val="id-ID"/>
        </w:rPr>
        <w:t xml:space="preserve">Sumber: BPS, Susenas </w:t>
      </w:r>
      <w:r>
        <w:rPr>
          <w:rFonts w:asciiTheme="minorHAnsi" w:hAnsiTheme="minorHAnsi" w:cs="Arial"/>
          <w:i/>
          <w:sz w:val="20"/>
          <w:szCs w:val="20"/>
        </w:rPr>
        <w:t>2019-</w:t>
      </w:r>
      <w:r>
        <w:rPr>
          <w:rFonts w:asciiTheme="minorHAnsi" w:hAnsiTheme="minorHAnsi" w:cs="Arial"/>
          <w:i/>
          <w:sz w:val="20"/>
          <w:szCs w:val="20"/>
          <w:lang w:val="id-ID"/>
        </w:rPr>
        <w:t>20</w:t>
      </w:r>
      <w:r>
        <w:rPr>
          <w:rFonts w:asciiTheme="minorHAnsi" w:hAnsiTheme="minorHAnsi" w:cs="Arial"/>
          <w:i/>
          <w:sz w:val="20"/>
          <w:szCs w:val="20"/>
        </w:rPr>
        <w:t>21</w:t>
      </w:r>
    </w:p>
    <w:p>
      <w:pPr>
        <w:pStyle w:val="BodyTextIndent2"/>
        <w:spacing w:before="240" w:after="0" w:line="360" w:lineRule="auto"/>
        <w:ind w:left="284" w:right="27" w:firstLine="567"/>
        <w:jc w:val="both"/>
        <w:rPr>
          <w:rFonts w:asciiTheme="minorHAnsi" w:hAnsiTheme="minorHAnsi" w:cs="Calibri"/>
          <w:bCs/>
          <w:sz w:val="20"/>
          <w:szCs w:val="20"/>
          <w:lang w:val="id-ID"/>
        </w:rPr>
      </w:pPr>
      <w:r>
        <w:rPr>
          <w:rFonts w:asciiTheme="minorHAnsi" w:hAnsiTheme="minorHAnsi" w:cs="Calibri"/>
          <w:bCs/>
          <w:sz w:val="20"/>
          <w:szCs w:val="20"/>
        </w:rPr>
        <w:t xml:space="preserve">Kondisi yang berkebalikan terlihat pada </w:t>
      </w:r>
      <w:r>
        <w:rPr>
          <w:rFonts w:asciiTheme="minorHAnsi" w:hAnsiTheme="minorHAnsi" w:cs="Calibri"/>
          <w:bCs/>
          <w:sz w:val="20"/>
          <w:szCs w:val="20"/>
          <w:lang w:val="id-ID"/>
        </w:rPr>
        <w:t>nilai APM SMA, di mana pada tahun 20</w:t>
      </w:r>
      <w:r>
        <w:rPr>
          <w:rFonts w:asciiTheme="minorHAnsi" w:hAnsiTheme="minorHAnsi" w:cs="Calibri"/>
          <w:bCs/>
          <w:sz w:val="20"/>
          <w:szCs w:val="20"/>
        </w:rPr>
        <w:t>21</w:t>
      </w:r>
      <w:r>
        <w:rPr>
          <w:rFonts w:asciiTheme="minorHAnsi" w:hAnsiTheme="minorHAnsi" w:cs="Calibri"/>
          <w:bCs/>
          <w:sz w:val="20"/>
          <w:szCs w:val="20"/>
          <w:lang w:val="id-ID"/>
        </w:rPr>
        <w:t xml:space="preserve">, nilai APM SMA </w:t>
      </w:r>
      <w:r>
        <w:rPr>
          <w:rFonts w:asciiTheme="minorHAnsi" w:hAnsiTheme="minorHAnsi" w:cs="Calibri"/>
          <w:bCs/>
          <w:sz w:val="20"/>
          <w:szCs w:val="20"/>
        </w:rPr>
        <w:t xml:space="preserve">laki-laki </w:t>
      </w:r>
      <w:r>
        <w:rPr>
          <w:rFonts w:asciiTheme="minorHAnsi" w:hAnsiTheme="minorHAnsi" w:cs="Calibri"/>
          <w:bCs/>
          <w:sz w:val="20"/>
          <w:szCs w:val="20"/>
          <w:lang w:val="id-ID"/>
        </w:rPr>
        <w:t xml:space="preserve">di Kalimantan Tengah lebih tinggi daripada </w:t>
      </w:r>
      <w:r>
        <w:rPr>
          <w:rFonts w:asciiTheme="minorHAnsi" w:hAnsiTheme="minorHAnsi" w:cs="Calibri"/>
          <w:bCs/>
          <w:sz w:val="20"/>
          <w:szCs w:val="20"/>
        </w:rPr>
        <w:t>perempuan</w:t>
      </w:r>
      <w:r>
        <w:rPr>
          <w:rFonts w:asciiTheme="minorHAnsi" w:hAnsiTheme="minorHAnsi" w:cs="Calibri"/>
          <w:bCs/>
          <w:sz w:val="20"/>
          <w:szCs w:val="20"/>
          <w:lang w:val="id-ID"/>
        </w:rPr>
        <w:t xml:space="preserve">. </w:t>
      </w:r>
      <w:r>
        <w:rPr>
          <w:rFonts w:asciiTheme="minorHAnsi" w:hAnsiTheme="minorHAnsi" w:cs="Calibri"/>
          <w:bCs/>
          <w:sz w:val="20"/>
          <w:szCs w:val="20"/>
        </w:rPr>
        <w:t>Enam</w:t>
      </w:r>
      <w:r>
        <w:rPr>
          <w:rFonts w:asciiTheme="minorHAnsi" w:hAnsiTheme="minorHAnsi" w:cs="Calibri"/>
          <w:bCs/>
          <w:sz w:val="20"/>
          <w:szCs w:val="20"/>
          <w:lang w:val="id-ID"/>
        </w:rPr>
        <w:t xml:space="preserve"> dari 14 kabupaten</w:t>
      </w:r>
      <w:r>
        <w:rPr>
          <w:rFonts w:asciiTheme="minorHAnsi" w:hAnsiTheme="minorHAnsi" w:cs="Calibri"/>
          <w:bCs/>
          <w:sz w:val="20"/>
          <w:szCs w:val="20"/>
        </w:rPr>
        <w:t xml:space="preserve">/kota </w:t>
      </w:r>
      <w:r>
        <w:rPr>
          <w:rFonts w:asciiTheme="minorHAnsi" w:hAnsiTheme="minorHAnsi" w:cs="Calibri"/>
          <w:bCs/>
          <w:sz w:val="20"/>
          <w:szCs w:val="20"/>
          <w:lang w:val="id-ID"/>
        </w:rPr>
        <w:t>di Kalimantan Tengah memiliki pola yang serupa</w:t>
      </w:r>
      <w:r>
        <w:rPr>
          <w:rFonts w:asciiTheme="minorHAnsi" w:hAnsiTheme="minorHAnsi" w:cs="Calibri"/>
          <w:bCs/>
          <w:sz w:val="20"/>
          <w:szCs w:val="20"/>
        </w:rPr>
        <w:t xml:space="preserve"> yang meliputi </w:t>
      </w:r>
      <w:r>
        <w:rPr>
          <w:rFonts w:asciiTheme="minorHAnsi" w:hAnsiTheme="minorHAnsi" w:cs="Calibri"/>
          <w:bCs/>
          <w:sz w:val="20"/>
          <w:szCs w:val="20"/>
          <w:lang w:val="id-ID"/>
        </w:rPr>
        <w:t xml:space="preserve">Kotawaringin Barat, Kotawaringin Timur, Barito Utara, Seruyan, </w:t>
      </w:r>
      <w:r>
        <w:rPr>
          <w:rFonts w:asciiTheme="minorHAnsi" w:hAnsiTheme="minorHAnsi" w:cs="Calibri"/>
          <w:bCs/>
          <w:sz w:val="20"/>
          <w:szCs w:val="20"/>
        </w:rPr>
        <w:t xml:space="preserve">Katingan, dan </w:t>
      </w:r>
      <w:r>
        <w:rPr>
          <w:rFonts w:asciiTheme="minorHAnsi" w:hAnsiTheme="minorHAnsi" w:cs="Calibri"/>
          <w:bCs/>
          <w:sz w:val="20"/>
          <w:szCs w:val="20"/>
          <w:lang w:val="id-ID"/>
        </w:rPr>
        <w:t xml:space="preserve">Barito Timur. </w:t>
      </w:r>
    </w:p>
    <w:p>
      <w:pPr>
        <w:pStyle w:val="BodyTextIndent2"/>
        <w:spacing w:before="240" w:after="0" w:line="360" w:lineRule="auto"/>
        <w:ind w:left="284" w:right="27" w:firstLine="567"/>
        <w:jc w:val="both"/>
        <w:rPr>
          <w:rFonts w:asciiTheme="minorHAnsi" w:hAnsiTheme="minorHAnsi" w:cs="Calibri"/>
          <w:bCs/>
          <w:sz w:val="20"/>
          <w:szCs w:val="20"/>
          <w:lang w:val="id-ID"/>
        </w:rPr>
      </w:pPr>
    </w:p>
    <w:p>
      <w:pPr>
        <w:pStyle w:val="BodyTextIndent2"/>
        <w:spacing w:before="240" w:after="0" w:line="360" w:lineRule="auto"/>
        <w:ind w:left="284" w:right="27" w:firstLine="567"/>
        <w:jc w:val="both"/>
        <w:rPr>
          <w:rFonts w:asciiTheme="minorHAnsi" w:hAnsiTheme="minorHAnsi" w:cs="Calibri"/>
          <w:bCs/>
          <w:sz w:val="20"/>
          <w:szCs w:val="20"/>
          <w:lang w:val="id-ID"/>
        </w:rPr>
      </w:pPr>
    </w:p>
    <w:p>
      <w:pPr>
        <w:pStyle w:val="Caption"/>
        <w:spacing w:before="240"/>
        <w:ind w:left="1418" w:hanging="1134"/>
        <w:jc w:val="both"/>
        <w:rPr>
          <w:rFonts w:cs="Calibri"/>
          <w:b/>
          <w:bCs/>
          <w:i w:val="0"/>
          <w:iCs w:val="0"/>
          <w:color w:val="auto"/>
          <w:sz w:val="20"/>
          <w:szCs w:val="20"/>
        </w:rPr>
      </w:pPr>
      <w:bookmarkStart w:id="59" w:name="_Toc117519528"/>
      <w:r>
        <w:rPr>
          <w:b/>
          <w:bCs/>
          <w:i w:val="0"/>
          <w:iCs w:val="0"/>
          <w:color w:val="auto"/>
        </w:rPr>
        <w:t xml:space="preserve">Tabel 4. </w:t>
      </w:r>
      <w:r>
        <w:rPr>
          <w:b/>
          <w:bCs/>
          <w:i w:val="0"/>
          <w:iCs w:val="0"/>
          <w:color w:val="auto"/>
        </w:rPr>
        <w:fldChar w:fldCharType="begin"/>
      </w:r>
      <w:r>
        <w:rPr>
          <w:b/>
          <w:bCs/>
          <w:i w:val="0"/>
          <w:iCs w:val="0"/>
          <w:color w:val="auto"/>
        </w:rPr>
        <w:instrText xml:space="preserve"> SEQ Tabel_4. \* ARABIC </w:instrText>
      </w:r>
      <w:r>
        <w:rPr>
          <w:b/>
          <w:bCs/>
          <w:i w:val="0"/>
          <w:iCs w:val="0"/>
          <w:color w:val="auto"/>
        </w:rPr>
        <w:fldChar w:fldCharType="separate"/>
      </w:r>
      <w:r>
        <w:rPr>
          <w:b/>
          <w:bCs/>
          <w:i w:val="0"/>
          <w:iCs w:val="0"/>
          <w:noProof/>
          <w:color w:val="auto"/>
        </w:rPr>
        <w:t>9</w:t>
      </w:r>
      <w:r>
        <w:rPr>
          <w:b/>
          <w:bCs/>
          <w:i w:val="0"/>
          <w:iCs w:val="0"/>
          <w:color w:val="auto"/>
        </w:rPr>
        <w:fldChar w:fldCharType="end"/>
      </w:r>
      <w:r>
        <w:rPr>
          <w:b/>
          <w:bCs/>
          <w:i w:val="0"/>
          <w:iCs w:val="0"/>
          <w:color w:val="auto"/>
        </w:rPr>
        <w:tab/>
      </w:r>
      <w:r>
        <w:rPr>
          <w:rFonts w:cs="Arial"/>
          <w:b/>
          <w:bCs/>
          <w:i w:val="0"/>
          <w:iCs w:val="0"/>
          <w:color w:val="auto"/>
          <w:sz w:val="20"/>
          <w:szCs w:val="20"/>
        </w:rPr>
        <w:t>Angka Partisipasi Murni (APM) Sekolah Menengah Atas (SMA) Menurut Kabupaten/Kota dan Jenis Kelamin, 2019-2021</w:t>
      </w:r>
      <w:bookmarkEnd w:id="59"/>
    </w:p>
    <w:tbl>
      <w:tblPr>
        <w:tblW w:w="624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701"/>
        <w:gridCol w:w="640"/>
        <w:gridCol w:w="781"/>
        <w:gridCol w:w="780"/>
        <w:gridCol w:w="779"/>
        <w:gridCol w:w="780"/>
        <w:gridCol w:w="780"/>
      </w:tblGrid>
      <w:tr>
        <w:trPr>
          <w:cantSplit/>
          <w:trHeight w:val="397"/>
        </w:trPr>
        <w:tc>
          <w:tcPr>
            <w:tcW w:w="1701" w:type="dxa"/>
            <w:vMerge w:val="restart"/>
            <w:shd w:val="clear" w:color="auto" w:fill="38003D"/>
            <w:vAlign w:val="center"/>
            <w:hideMark/>
          </w:tcPr>
          <w:p>
            <w:pPr>
              <w:spacing w:after="0"/>
              <w:jc w:val="center"/>
              <w:rPr>
                <w:b/>
                <w:bCs/>
                <w:snapToGrid w:val="0"/>
                <w:color w:val="FFFFFF" w:themeColor="background1"/>
                <w:sz w:val="20"/>
                <w:szCs w:val="20"/>
              </w:rPr>
            </w:pPr>
            <w:r>
              <w:rPr>
                <w:b/>
                <w:bCs/>
                <w:snapToGrid w:val="0"/>
                <w:color w:val="FFFFFF" w:themeColor="background1"/>
                <w:sz w:val="20"/>
                <w:szCs w:val="20"/>
              </w:rPr>
              <w:t>Kabupaten/Kota</w:t>
            </w:r>
          </w:p>
        </w:tc>
        <w:tc>
          <w:tcPr>
            <w:tcW w:w="2201" w:type="dxa"/>
            <w:gridSpan w:val="3"/>
            <w:shd w:val="clear" w:color="auto" w:fill="38003D"/>
            <w:vAlign w:val="center"/>
            <w:hideMark/>
          </w:tcPr>
          <w:p>
            <w:pPr>
              <w:spacing w:after="0"/>
              <w:jc w:val="center"/>
              <w:rPr>
                <w:b/>
                <w:bCs/>
                <w:snapToGrid w:val="0"/>
                <w:color w:val="FFFFFF" w:themeColor="background1"/>
                <w:sz w:val="20"/>
                <w:szCs w:val="20"/>
              </w:rPr>
            </w:pPr>
            <w:r>
              <w:rPr>
                <w:b/>
                <w:bCs/>
                <w:snapToGrid w:val="0"/>
                <w:color w:val="FFFFFF" w:themeColor="background1"/>
                <w:sz w:val="20"/>
                <w:szCs w:val="20"/>
              </w:rPr>
              <w:t>Laki-laki</w:t>
            </w:r>
          </w:p>
        </w:tc>
        <w:tc>
          <w:tcPr>
            <w:tcW w:w="2339" w:type="dxa"/>
            <w:gridSpan w:val="3"/>
            <w:shd w:val="clear" w:color="auto" w:fill="38003D"/>
            <w:vAlign w:val="center"/>
            <w:hideMark/>
          </w:tcPr>
          <w:p>
            <w:pPr>
              <w:spacing w:after="0"/>
              <w:jc w:val="center"/>
              <w:rPr>
                <w:b/>
                <w:bCs/>
                <w:snapToGrid w:val="0"/>
                <w:color w:val="FFFFFF" w:themeColor="background1"/>
                <w:sz w:val="20"/>
                <w:szCs w:val="20"/>
              </w:rPr>
            </w:pPr>
            <w:r>
              <w:rPr>
                <w:b/>
                <w:bCs/>
                <w:snapToGrid w:val="0"/>
                <w:color w:val="FFFFFF" w:themeColor="background1"/>
                <w:sz w:val="20"/>
                <w:szCs w:val="20"/>
              </w:rPr>
              <w:t>Perempuan</w:t>
            </w:r>
          </w:p>
        </w:tc>
      </w:tr>
      <w:tr>
        <w:trPr>
          <w:cantSplit/>
          <w:trHeight w:val="397"/>
        </w:trPr>
        <w:tc>
          <w:tcPr>
            <w:tcW w:w="1701" w:type="dxa"/>
            <w:vMerge/>
            <w:shd w:val="clear" w:color="auto" w:fill="38003D"/>
            <w:vAlign w:val="center"/>
            <w:hideMark/>
          </w:tcPr>
          <w:p>
            <w:pPr>
              <w:spacing w:after="0"/>
              <w:rPr>
                <w:b/>
                <w:bCs/>
                <w:snapToGrid w:val="0"/>
                <w:color w:val="FFFFFF" w:themeColor="background1"/>
                <w:sz w:val="20"/>
                <w:szCs w:val="20"/>
              </w:rPr>
            </w:pPr>
          </w:p>
        </w:tc>
        <w:tc>
          <w:tcPr>
            <w:tcW w:w="640" w:type="dxa"/>
            <w:shd w:val="clear" w:color="auto" w:fill="38003D"/>
            <w:vAlign w:val="center"/>
            <w:hideMark/>
          </w:tcPr>
          <w:p>
            <w:pPr>
              <w:spacing w:after="0"/>
              <w:jc w:val="center"/>
              <w:rPr>
                <w:rFonts w:cstheme="minorHAnsi"/>
                <w:b/>
                <w:bCs/>
                <w:snapToGrid w:val="0"/>
                <w:color w:val="FFFFFF" w:themeColor="background1"/>
                <w:sz w:val="20"/>
                <w:szCs w:val="20"/>
              </w:rPr>
            </w:pPr>
            <w:r>
              <w:rPr>
                <w:b/>
                <w:bCs/>
                <w:snapToGrid w:val="0"/>
                <w:color w:val="FFFFFF" w:themeColor="background1"/>
                <w:sz w:val="20"/>
                <w:szCs w:val="20"/>
              </w:rPr>
              <w:t>2019</w:t>
            </w:r>
          </w:p>
        </w:tc>
        <w:tc>
          <w:tcPr>
            <w:tcW w:w="781" w:type="dxa"/>
            <w:shd w:val="clear" w:color="auto" w:fill="38003D"/>
            <w:vAlign w:val="center"/>
            <w:hideMark/>
          </w:tcPr>
          <w:p>
            <w:pPr>
              <w:spacing w:after="0"/>
              <w:jc w:val="center"/>
              <w:rPr>
                <w:rFonts w:cstheme="minorHAnsi"/>
                <w:b/>
                <w:bCs/>
                <w:snapToGrid w:val="0"/>
                <w:color w:val="FFFFFF" w:themeColor="background1"/>
                <w:sz w:val="20"/>
                <w:szCs w:val="20"/>
              </w:rPr>
            </w:pPr>
            <w:r>
              <w:rPr>
                <w:b/>
                <w:bCs/>
                <w:snapToGrid w:val="0"/>
                <w:color w:val="FFFFFF" w:themeColor="background1"/>
                <w:sz w:val="20"/>
                <w:szCs w:val="20"/>
              </w:rPr>
              <w:t>2020</w:t>
            </w:r>
          </w:p>
        </w:tc>
        <w:tc>
          <w:tcPr>
            <w:tcW w:w="780" w:type="dxa"/>
            <w:shd w:val="clear" w:color="auto" w:fill="38003D"/>
            <w:vAlign w:val="center"/>
            <w:hideMark/>
          </w:tcPr>
          <w:p>
            <w:pPr>
              <w:spacing w:after="0"/>
              <w:jc w:val="center"/>
              <w:rPr>
                <w:rFonts w:cstheme="minorHAnsi"/>
                <w:b/>
                <w:bCs/>
                <w:snapToGrid w:val="0"/>
                <w:color w:val="FFFFFF" w:themeColor="background1"/>
                <w:sz w:val="20"/>
                <w:szCs w:val="20"/>
              </w:rPr>
            </w:pPr>
            <w:r>
              <w:rPr>
                <w:b/>
                <w:bCs/>
                <w:snapToGrid w:val="0"/>
                <w:color w:val="FFFFFF" w:themeColor="background1"/>
                <w:sz w:val="20"/>
                <w:szCs w:val="20"/>
              </w:rPr>
              <w:t>2021</w:t>
            </w:r>
          </w:p>
        </w:tc>
        <w:tc>
          <w:tcPr>
            <w:tcW w:w="779" w:type="dxa"/>
            <w:shd w:val="clear" w:color="auto" w:fill="38003D"/>
            <w:vAlign w:val="center"/>
            <w:hideMark/>
          </w:tcPr>
          <w:p>
            <w:pPr>
              <w:spacing w:after="0"/>
              <w:jc w:val="center"/>
              <w:rPr>
                <w:rFonts w:cstheme="minorHAnsi"/>
                <w:b/>
                <w:bCs/>
                <w:snapToGrid w:val="0"/>
                <w:color w:val="FFFFFF" w:themeColor="background1"/>
                <w:sz w:val="20"/>
                <w:szCs w:val="20"/>
              </w:rPr>
            </w:pPr>
            <w:r>
              <w:rPr>
                <w:b/>
                <w:bCs/>
                <w:snapToGrid w:val="0"/>
                <w:color w:val="FFFFFF" w:themeColor="background1"/>
                <w:sz w:val="20"/>
                <w:szCs w:val="20"/>
              </w:rPr>
              <w:t>2019</w:t>
            </w:r>
          </w:p>
        </w:tc>
        <w:tc>
          <w:tcPr>
            <w:tcW w:w="780" w:type="dxa"/>
            <w:shd w:val="clear" w:color="auto" w:fill="38003D"/>
            <w:vAlign w:val="center"/>
            <w:hideMark/>
          </w:tcPr>
          <w:p>
            <w:pPr>
              <w:spacing w:after="0"/>
              <w:jc w:val="center"/>
              <w:rPr>
                <w:rFonts w:cstheme="minorHAnsi"/>
                <w:b/>
                <w:bCs/>
                <w:snapToGrid w:val="0"/>
                <w:color w:val="FFFFFF" w:themeColor="background1"/>
                <w:sz w:val="20"/>
                <w:szCs w:val="20"/>
              </w:rPr>
            </w:pPr>
            <w:r>
              <w:rPr>
                <w:b/>
                <w:bCs/>
                <w:snapToGrid w:val="0"/>
                <w:color w:val="FFFFFF" w:themeColor="background1"/>
                <w:sz w:val="20"/>
                <w:szCs w:val="20"/>
              </w:rPr>
              <w:t>2020</w:t>
            </w:r>
          </w:p>
        </w:tc>
        <w:tc>
          <w:tcPr>
            <w:tcW w:w="780" w:type="dxa"/>
            <w:shd w:val="clear" w:color="auto" w:fill="38003D"/>
            <w:vAlign w:val="center"/>
            <w:hideMark/>
          </w:tcPr>
          <w:p>
            <w:pPr>
              <w:spacing w:after="0"/>
              <w:jc w:val="center"/>
              <w:rPr>
                <w:rFonts w:cstheme="minorHAnsi"/>
                <w:b/>
                <w:bCs/>
                <w:snapToGrid w:val="0"/>
                <w:color w:val="FFFFFF" w:themeColor="background1"/>
                <w:sz w:val="20"/>
                <w:szCs w:val="20"/>
              </w:rPr>
            </w:pPr>
            <w:r>
              <w:rPr>
                <w:b/>
                <w:bCs/>
                <w:snapToGrid w:val="0"/>
                <w:color w:val="FFFFFF" w:themeColor="background1"/>
                <w:sz w:val="20"/>
                <w:szCs w:val="20"/>
              </w:rPr>
              <w:t>2021</w:t>
            </w:r>
          </w:p>
        </w:tc>
      </w:tr>
      <w:tr>
        <w:trPr>
          <w:cantSplit/>
          <w:trHeight w:val="227"/>
        </w:trPr>
        <w:tc>
          <w:tcPr>
            <w:tcW w:w="1701" w:type="dxa"/>
            <w:tcBorders>
              <w:bottom w:val="single" w:sz="4" w:space="0" w:color="auto"/>
            </w:tcBorders>
            <w:shd w:val="clear" w:color="auto" w:fill="38003D"/>
            <w:vAlign w:val="center"/>
            <w:hideMark/>
          </w:tcPr>
          <w:p>
            <w:pPr>
              <w:spacing w:after="0"/>
              <w:jc w:val="center"/>
              <w:rPr>
                <w:snapToGrid w:val="0"/>
                <w:color w:val="FFFFFF" w:themeColor="background1"/>
                <w:sz w:val="20"/>
                <w:szCs w:val="20"/>
              </w:rPr>
            </w:pPr>
            <w:r>
              <w:rPr>
                <w:snapToGrid w:val="0"/>
                <w:color w:val="FFFFFF" w:themeColor="background1"/>
                <w:sz w:val="20"/>
                <w:szCs w:val="20"/>
              </w:rPr>
              <w:t>(1)</w:t>
            </w:r>
          </w:p>
        </w:tc>
        <w:tc>
          <w:tcPr>
            <w:tcW w:w="640" w:type="dxa"/>
            <w:tcBorders>
              <w:bottom w:val="single" w:sz="4" w:space="0" w:color="auto"/>
            </w:tcBorders>
            <w:shd w:val="clear" w:color="auto" w:fill="38003D"/>
            <w:vAlign w:val="center"/>
            <w:hideMark/>
          </w:tcPr>
          <w:p>
            <w:pPr>
              <w:spacing w:after="0"/>
              <w:jc w:val="center"/>
              <w:rPr>
                <w:rFonts w:cstheme="minorHAnsi"/>
                <w:snapToGrid w:val="0"/>
                <w:color w:val="FFFFFF" w:themeColor="background1"/>
                <w:sz w:val="20"/>
                <w:szCs w:val="20"/>
              </w:rPr>
            </w:pPr>
            <w:r>
              <w:rPr>
                <w:rFonts w:cstheme="minorHAnsi"/>
                <w:snapToGrid w:val="0"/>
                <w:color w:val="FFFFFF" w:themeColor="background1"/>
                <w:sz w:val="20"/>
                <w:szCs w:val="20"/>
              </w:rPr>
              <w:t>(2)</w:t>
            </w:r>
          </w:p>
        </w:tc>
        <w:tc>
          <w:tcPr>
            <w:tcW w:w="781" w:type="dxa"/>
            <w:tcBorders>
              <w:bottom w:val="single" w:sz="4" w:space="0" w:color="auto"/>
            </w:tcBorders>
            <w:shd w:val="clear" w:color="auto" w:fill="38003D"/>
            <w:vAlign w:val="center"/>
            <w:hideMark/>
          </w:tcPr>
          <w:p>
            <w:pPr>
              <w:spacing w:after="0"/>
              <w:jc w:val="center"/>
              <w:rPr>
                <w:rFonts w:cstheme="minorHAnsi"/>
                <w:snapToGrid w:val="0"/>
                <w:color w:val="FFFFFF" w:themeColor="background1"/>
                <w:sz w:val="20"/>
                <w:szCs w:val="20"/>
              </w:rPr>
            </w:pPr>
            <w:r>
              <w:rPr>
                <w:rFonts w:cstheme="minorHAnsi"/>
                <w:snapToGrid w:val="0"/>
                <w:color w:val="FFFFFF" w:themeColor="background1"/>
                <w:sz w:val="20"/>
                <w:szCs w:val="20"/>
              </w:rPr>
              <w:t>(3)</w:t>
            </w:r>
          </w:p>
        </w:tc>
        <w:tc>
          <w:tcPr>
            <w:tcW w:w="780" w:type="dxa"/>
            <w:tcBorders>
              <w:bottom w:val="single" w:sz="4" w:space="0" w:color="auto"/>
            </w:tcBorders>
            <w:shd w:val="clear" w:color="auto" w:fill="38003D"/>
            <w:vAlign w:val="center"/>
            <w:hideMark/>
          </w:tcPr>
          <w:p>
            <w:pPr>
              <w:spacing w:after="0"/>
              <w:jc w:val="center"/>
              <w:rPr>
                <w:rFonts w:cstheme="minorHAnsi"/>
                <w:snapToGrid w:val="0"/>
                <w:color w:val="FFFFFF" w:themeColor="background1"/>
                <w:sz w:val="20"/>
                <w:szCs w:val="20"/>
              </w:rPr>
            </w:pPr>
            <w:r>
              <w:rPr>
                <w:rFonts w:cstheme="minorHAnsi"/>
                <w:snapToGrid w:val="0"/>
                <w:color w:val="FFFFFF" w:themeColor="background1"/>
                <w:sz w:val="20"/>
                <w:szCs w:val="20"/>
              </w:rPr>
              <w:t>(4)</w:t>
            </w:r>
          </w:p>
        </w:tc>
        <w:tc>
          <w:tcPr>
            <w:tcW w:w="779" w:type="dxa"/>
            <w:tcBorders>
              <w:bottom w:val="single" w:sz="4" w:space="0" w:color="auto"/>
            </w:tcBorders>
            <w:shd w:val="clear" w:color="auto" w:fill="38003D"/>
            <w:vAlign w:val="center"/>
            <w:hideMark/>
          </w:tcPr>
          <w:p>
            <w:pPr>
              <w:spacing w:after="0"/>
              <w:jc w:val="center"/>
              <w:rPr>
                <w:rFonts w:cstheme="minorHAnsi"/>
                <w:snapToGrid w:val="0"/>
                <w:color w:val="FFFFFF" w:themeColor="background1"/>
                <w:sz w:val="20"/>
                <w:szCs w:val="20"/>
              </w:rPr>
            </w:pPr>
            <w:r>
              <w:rPr>
                <w:rFonts w:cstheme="minorHAnsi"/>
                <w:snapToGrid w:val="0"/>
                <w:color w:val="FFFFFF" w:themeColor="background1"/>
                <w:sz w:val="20"/>
                <w:szCs w:val="20"/>
              </w:rPr>
              <w:t>(5)</w:t>
            </w:r>
          </w:p>
        </w:tc>
        <w:tc>
          <w:tcPr>
            <w:tcW w:w="780" w:type="dxa"/>
            <w:tcBorders>
              <w:bottom w:val="single" w:sz="4" w:space="0" w:color="auto"/>
            </w:tcBorders>
            <w:shd w:val="clear" w:color="auto" w:fill="38003D"/>
            <w:vAlign w:val="center"/>
            <w:hideMark/>
          </w:tcPr>
          <w:p>
            <w:pPr>
              <w:spacing w:after="0"/>
              <w:jc w:val="center"/>
              <w:rPr>
                <w:rFonts w:cstheme="minorHAnsi"/>
                <w:snapToGrid w:val="0"/>
                <w:color w:val="FFFFFF" w:themeColor="background1"/>
                <w:sz w:val="20"/>
                <w:szCs w:val="20"/>
              </w:rPr>
            </w:pPr>
            <w:r>
              <w:rPr>
                <w:rFonts w:cstheme="minorHAnsi"/>
                <w:snapToGrid w:val="0"/>
                <w:color w:val="FFFFFF" w:themeColor="background1"/>
                <w:sz w:val="20"/>
                <w:szCs w:val="20"/>
              </w:rPr>
              <w:t>(6)</w:t>
            </w:r>
          </w:p>
        </w:tc>
        <w:tc>
          <w:tcPr>
            <w:tcW w:w="780" w:type="dxa"/>
            <w:tcBorders>
              <w:bottom w:val="single" w:sz="4" w:space="0" w:color="auto"/>
            </w:tcBorders>
            <w:shd w:val="clear" w:color="auto" w:fill="38003D"/>
            <w:vAlign w:val="center"/>
            <w:hideMark/>
          </w:tcPr>
          <w:p>
            <w:pPr>
              <w:spacing w:after="0"/>
              <w:jc w:val="center"/>
              <w:rPr>
                <w:rFonts w:cstheme="minorHAnsi"/>
                <w:snapToGrid w:val="0"/>
                <w:color w:val="FFFFFF" w:themeColor="background1"/>
                <w:sz w:val="20"/>
                <w:szCs w:val="20"/>
              </w:rPr>
            </w:pPr>
            <w:r>
              <w:rPr>
                <w:rFonts w:cstheme="minorHAnsi"/>
                <w:snapToGrid w:val="0"/>
                <w:color w:val="FFFFFF" w:themeColor="background1"/>
                <w:sz w:val="20"/>
                <w:szCs w:val="20"/>
              </w:rPr>
              <w:t>(7)</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Kotawaringin Barat</w:t>
            </w:r>
          </w:p>
        </w:tc>
        <w:tc>
          <w:tcPr>
            <w:tcW w:w="6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62,19</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65,40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64,09</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59,37</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59,23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58,77</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Kotawaringin Timur</w:t>
            </w:r>
          </w:p>
        </w:tc>
        <w:tc>
          <w:tcPr>
            <w:tcW w:w="6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48,92</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44,43</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55,48</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45,91</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50,39</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39,95</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Kapuas</w:t>
            </w:r>
          </w:p>
        </w:tc>
        <w:tc>
          <w:tcPr>
            <w:tcW w:w="6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50,07</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55,52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50,28</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57,37</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51,35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56,95</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Barito Selatan</w:t>
            </w:r>
          </w:p>
        </w:tc>
        <w:tc>
          <w:tcPr>
            <w:tcW w:w="6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57,27</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52,80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52,58</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55,84</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60,72</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63,02</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Barito Utara</w:t>
            </w:r>
          </w:p>
        </w:tc>
        <w:tc>
          <w:tcPr>
            <w:tcW w:w="6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58,65</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60,76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69,95</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68,18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65,38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57,34</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Sukamara</w:t>
            </w:r>
          </w:p>
        </w:tc>
        <w:tc>
          <w:tcPr>
            <w:tcW w:w="6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47,10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44,81</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43,73</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53,83</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56,18</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61,04</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Lamandau</w:t>
            </w:r>
          </w:p>
        </w:tc>
        <w:tc>
          <w:tcPr>
            <w:tcW w:w="6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46,29</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45,86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49,97</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54,70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57,40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50,89</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Seruyan</w:t>
            </w:r>
          </w:p>
        </w:tc>
        <w:tc>
          <w:tcPr>
            <w:tcW w:w="6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44,90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50,91</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47,37</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45,60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39,13</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41,20</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Katingan</w:t>
            </w:r>
          </w:p>
        </w:tc>
        <w:tc>
          <w:tcPr>
            <w:tcW w:w="6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60,99</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66,20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75,84</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74,29</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69,48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59,86</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Pulang Pisau</w:t>
            </w:r>
          </w:p>
        </w:tc>
        <w:tc>
          <w:tcPr>
            <w:tcW w:w="6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50,38</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50,08</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42,61</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51,69</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51,86</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60,48</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Gunung Mas</w:t>
            </w:r>
          </w:p>
        </w:tc>
        <w:tc>
          <w:tcPr>
            <w:tcW w:w="6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51,28</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57,68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54,11</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56,70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50,45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54,37</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Barito Timur</w:t>
            </w:r>
          </w:p>
        </w:tc>
        <w:tc>
          <w:tcPr>
            <w:tcW w:w="6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59,36</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65,81</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72,73</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68,14</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63,34</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58,89</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Murung Raya</w:t>
            </w:r>
          </w:p>
        </w:tc>
        <w:tc>
          <w:tcPr>
            <w:tcW w:w="6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40,72</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43,87</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40,09</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43,54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39,80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45,40</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Palangka Raya</w:t>
            </w:r>
          </w:p>
        </w:tc>
        <w:tc>
          <w:tcPr>
            <w:tcW w:w="6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57,93</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52,60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53,25</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52,13</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56,82</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58,03</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b/>
                <w:sz w:val="18"/>
                <w:szCs w:val="18"/>
              </w:rPr>
            </w:pPr>
            <w:r>
              <w:rPr>
                <w:b/>
                <w:sz w:val="18"/>
                <w:szCs w:val="18"/>
              </w:rPr>
              <w:t>Kalimantan Tengah</w:t>
            </w:r>
          </w:p>
        </w:tc>
        <w:tc>
          <w:tcPr>
            <w:tcW w:w="6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sz w:val="18"/>
                <w:szCs w:val="18"/>
              </w:rPr>
            </w:pPr>
            <w:r>
              <w:rPr>
                <w:rFonts w:cstheme="minorHAnsi"/>
                <w:b/>
                <w:bCs/>
                <w:sz w:val="18"/>
                <w:szCs w:val="18"/>
              </w:rPr>
              <w:t>53,05</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sz w:val="18"/>
                <w:szCs w:val="18"/>
              </w:rPr>
            </w:pPr>
            <w:r>
              <w:rPr>
                <w:rFonts w:cstheme="minorHAnsi"/>
                <w:b/>
                <w:bCs/>
                <w:sz w:val="18"/>
                <w:szCs w:val="18"/>
              </w:rPr>
              <w:t>54,00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sz w:val="18"/>
                <w:szCs w:val="18"/>
              </w:rPr>
            </w:pPr>
            <w:r>
              <w:rPr>
                <w:rFonts w:cstheme="minorHAnsi"/>
                <w:b/>
                <w:bCs/>
                <w:sz w:val="18"/>
                <w:szCs w:val="18"/>
              </w:rPr>
              <w:t>55,31</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sz w:val="18"/>
                <w:szCs w:val="18"/>
              </w:rPr>
            </w:pPr>
            <w:r>
              <w:rPr>
                <w:rFonts w:cstheme="minorHAnsi"/>
                <w:b/>
                <w:bCs/>
                <w:sz w:val="18"/>
                <w:szCs w:val="18"/>
              </w:rPr>
              <w:t>54,64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sz w:val="18"/>
                <w:szCs w:val="18"/>
              </w:rPr>
            </w:pPr>
            <w:r>
              <w:rPr>
                <w:rFonts w:cstheme="minorHAnsi"/>
                <w:b/>
                <w:bCs/>
                <w:sz w:val="18"/>
                <w:szCs w:val="18"/>
              </w:rPr>
              <w:t>54,18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sz w:val="18"/>
                <w:szCs w:val="18"/>
              </w:rPr>
            </w:pPr>
            <w:r>
              <w:rPr>
                <w:rFonts w:cstheme="minorHAnsi"/>
                <w:b/>
                <w:bCs/>
                <w:sz w:val="18"/>
                <w:szCs w:val="18"/>
              </w:rPr>
              <w:t>53,22</w:t>
            </w:r>
          </w:p>
        </w:tc>
      </w:tr>
    </w:tbl>
    <w:p>
      <w:pPr>
        <w:pStyle w:val="BodyTextIndent2"/>
        <w:spacing w:after="0" w:line="240" w:lineRule="auto"/>
        <w:ind w:left="284" w:right="-425"/>
        <w:rPr>
          <w:rFonts w:asciiTheme="minorHAnsi" w:hAnsiTheme="minorHAnsi" w:cs="Calibri"/>
          <w:b/>
          <w:bCs/>
          <w:i/>
          <w:color w:val="FF0000"/>
          <w:sz w:val="18"/>
          <w:szCs w:val="18"/>
        </w:rPr>
      </w:pPr>
      <w:r>
        <w:rPr>
          <w:rFonts w:asciiTheme="minorHAnsi" w:hAnsiTheme="minorHAnsi" w:cs="Arial"/>
          <w:i/>
          <w:sz w:val="18"/>
          <w:szCs w:val="18"/>
          <w:lang w:val="id-ID"/>
        </w:rPr>
        <w:t xml:space="preserve">Sumber: BPS, Susenas </w:t>
      </w:r>
      <w:r>
        <w:rPr>
          <w:rFonts w:asciiTheme="minorHAnsi" w:hAnsiTheme="minorHAnsi" w:cs="Arial"/>
          <w:i/>
          <w:sz w:val="18"/>
          <w:szCs w:val="18"/>
        </w:rPr>
        <w:t>2019-</w:t>
      </w:r>
      <w:r>
        <w:rPr>
          <w:rFonts w:asciiTheme="minorHAnsi" w:hAnsiTheme="minorHAnsi" w:cs="Arial"/>
          <w:i/>
          <w:sz w:val="18"/>
          <w:szCs w:val="18"/>
          <w:lang w:val="id-ID"/>
        </w:rPr>
        <w:t>20</w:t>
      </w:r>
      <w:r>
        <w:rPr>
          <w:rFonts w:asciiTheme="minorHAnsi" w:hAnsiTheme="minorHAnsi" w:cs="Arial"/>
          <w:i/>
          <w:sz w:val="18"/>
          <w:szCs w:val="18"/>
        </w:rPr>
        <w:t>21</w:t>
      </w:r>
    </w:p>
    <w:p>
      <w:pPr>
        <w:rPr>
          <w:lang w:val="en-US"/>
        </w:rPr>
      </w:pPr>
    </w:p>
    <w:p>
      <w:pPr>
        <w:pStyle w:val="BodyTextIndent2"/>
        <w:spacing w:after="0" w:line="360" w:lineRule="auto"/>
        <w:ind w:left="284" w:right="27" w:firstLine="567"/>
        <w:jc w:val="both"/>
        <w:rPr>
          <w:rFonts w:asciiTheme="minorHAnsi" w:hAnsiTheme="minorHAnsi" w:cs="Calibri"/>
          <w:bCs/>
          <w:sz w:val="20"/>
          <w:szCs w:val="20"/>
          <w:lang w:val="id-ID"/>
        </w:rPr>
      </w:pPr>
      <w:r>
        <w:rPr>
          <w:rFonts w:asciiTheme="minorHAnsi" w:hAnsiTheme="minorHAnsi" w:cs="Calibri"/>
          <w:bCs/>
          <w:sz w:val="20"/>
          <w:szCs w:val="20"/>
          <w:lang w:val="id-ID"/>
        </w:rPr>
        <w:lastRenderedPageBreak/>
        <w:t>Dari tabel-tabel nilai APS, APK, dan APM di atas, terlihat bahwa secara umum semakin tinggi jenjang pendidikan atau kelompok usianya, semakin menurun nilainya. Hal ini mengindikasikan bahwa pelaksanaan pendidikan masih belum sepenuhnya berlangsung secara berkelanjutan dari tingkat dasar (SD dan SMP) hingga tingkat menengah (SMA). Masih banyak penduduk yang hanya mengenyam pendidikan dasar tanpa kemudian dilanjutkan ke pendidikan menengah.</w:t>
      </w:r>
      <w:r>
        <w:rPr>
          <w:rFonts w:asciiTheme="minorHAnsi" w:hAnsiTheme="minorHAnsi" w:cs="Calibri"/>
          <w:bCs/>
          <w:sz w:val="20"/>
          <w:szCs w:val="20"/>
        </w:rPr>
        <w:t xml:space="preserve"> RPJMN 2020-2024 masih mengamanatkan ketercapaian wajib belajar 12 tahun di bidang pendidikan bagi penduduk Indonesia, tak terkecuali di Provinsi Kalimantan Tengah. Oleh karena itu, pemerintah Provinsi Kalimantan Tengah didukung oleh segenap penyelenggara pendidikan perlu mengejar ketertinggalan ini dengan membuat strategi dan kebijakan yang dapat menjadi stimulus untuk keberlanjutan dan penyelesaian pendidikan penduduk guna peningkatan kualitas SDM Provinsi Kalimantan Tengah. </w:t>
      </w:r>
      <w:r>
        <w:rPr>
          <w:rFonts w:asciiTheme="minorHAnsi" w:hAnsiTheme="minorHAnsi" w:cs="Calibri"/>
          <w:bCs/>
          <w:sz w:val="20"/>
          <w:szCs w:val="20"/>
          <w:lang w:val="id-ID"/>
        </w:rPr>
        <w:t xml:space="preserve">Hal </w:t>
      </w:r>
      <w:r>
        <w:rPr>
          <w:rFonts w:asciiTheme="minorHAnsi" w:hAnsiTheme="minorHAnsi" w:cs="Calibri"/>
          <w:bCs/>
          <w:sz w:val="20"/>
          <w:szCs w:val="20"/>
        </w:rPr>
        <w:t xml:space="preserve">tersebut tentu </w:t>
      </w:r>
      <w:r>
        <w:rPr>
          <w:rFonts w:asciiTheme="minorHAnsi" w:hAnsiTheme="minorHAnsi" w:cs="Calibri"/>
          <w:bCs/>
          <w:sz w:val="20"/>
          <w:szCs w:val="20"/>
          <w:lang w:val="id-ID"/>
        </w:rPr>
        <w:t>menjadi pekerjaan rumah bagi pemerintah dan masyarakat yang harus terus ditemukan solusi konstruktifnya. Sinergi dan kerjasama antara kebijakan pendidikan yang dikeluarkan pemerintah dan kesadaran masyarakat akan arti pentingnya pendidikan terus diperlukan guna semakin mendorong kualitas manusia Indonesia ke depannya.</w:t>
      </w:r>
    </w:p>
    <w:p>
      <w:pPr>
        <w:pStyle w:val="Caption"/>
        <w:rPr>
          <w:lang w:val="en-US"/>
        </w:rPr>
      </w:pPr>
    </w:p>
    <w:p>
      <w:pPr>
        <w:rPr>
          <w:lang w:val="en-US"/>
        </w:rPr>
      </w:pPr>
    </w:p>
    <w:p>
      <w:pPr>
        <w:rPr>
          <w:lang w:val="en-US"/>
        </w:rPr>
      </w:pPr>
    </w:p>
    <w:p>
      <w:pPr>
        <w:rPr>
          <w:lang w:val="en-US"/>
        </w:rPr>
      </w:pPr>
    </w:p>
    <w:p>
      <w:pPr>
        <w:rPr>
          <w:lang w:val="en-US"/>
        </w:rPr>
      </w:pPr>
    </w:p>
    <w:p>
      <w:pPr>
        <w:rPr>
          <w:lang w:val="en-US"/>
        </w:rPr>
      </w:pPr>
    </w:p>
    <w:p>
      <w:pPr>
        <w:pStyle w:val="Heading2"/>
        <w:numPr>
          <w:ilvl w:val="0"/>
          <w:numId w:val="0"/>
        </w:numPr>
        <w:ind w:left="709" w:hanging="425"/>
        <w:rPr>
          <w:rFonts w:asciiTheme="minorHAnsi" w:hAnsiTheme="minorHAnsi" w:cstheme="minorHAnsi"/>
          <w:sz w:val="20"/>
          <w:szCs w:val="20"/>
          <w:lang w:val="en-US"/>
        </w:rPr>
      </w:pPr>
      <w:bookmarkStart w:id="60" w:name="_Toc118715985"/>
      <w:r>
        <w:rPr>
          <w:rFonts w:asciiTheme="minorHAnsi" w:hAnsiTheme="minorHAnsi" w:cstheme="minorHAnsi"/>
          <w:sz w:val="20"/>
          <w:szCs w:val="20"/>
          <w:lang w:val="en-US"/>
        </w:rPr>
        <w:t xml:space="preserve">4.4 </w:t>
      </w:r>
      <w:r>
        <w:rPr>
          <w:rFonts w:asciiTheme="minorHAnsi" w:hAnsiTheme="minorHAnsi" w:cstheme="minorHAnsi"/>
          <w:sz w:val="20"/>
          <w:szCs w:val="20"/>
          <w:lang w:val="en-US"/>
        </w:rPr>
        <w:tab/>
        <w:t>Angka Melek Huruf (AMH)</w:t>
      </w:r>
      <w:bookmarkEnd w:id="60"/>
    </w:p>
    <w:p>
      <w:pPr>
        <w:pStyle w:val="BodyTextIndent2"/>
        <w:spacing w:after="0" w:line="360" w:lineRule="auto"/>
        <w:ind w:left="284" w:right="5" w:firstLine="567"/>
        <w:jc w:val="both"/>
        <w:rPr>
          <w:rFonts w:asciiTheme="minorHAnsi" w:hAnsiTheme="minorHAnsi"/>
          <w:sz w:val="20"/>
          <w:szCs w:val="20"/>
          <w:lang w:val="id-ID"/>
        </w:rPr>
      </w:pPr>
      <w:r>
        <w:rPr>
          <w:rFonts w:asciiTheme="minorHAnsi" w:hAnsiTheme="minorHAnsi"/>
          <w:sz w:val="20"/>
          <w:szCs w:val="20"/>
          <w:lang w:val="id-ID"/>
        </w:rPr>
        <w:t xml:space="preserve">Membaca dan menulis merupakan </w:t>
      </w:r>
      <w:r>
        <w:rPr>
          <w:rFonts w:asciiTheme="minorHAnsi" w:hAnsiTheme="minorHAnsi"/>
          <w:sz w:val="20"/>
          <w:szCs w:val="20"/>
        </w:rPr>
        <w:t xml:space="preserve">kemampuan dasar yang mengantarkan setiap individu pada </w:t>
      </w:r>
      <w:r>
        <w:rPr>
          <w:rFonts w:asciiTheme="minorHAnsi" w:hAnsiTheme="minorHAnsi"/>
          <w:sz w:val="20"/>
          <w:szCs w:val="20"/>
          <w:lang w:val="id-ID"/>
        </w:rPr>
        <w:t>ilmu pengetahuan</w:t>
      </w:r>
      <w:r>
        <w:rPr>
          <w:rFonts w:asciiTheme="minorHAnsi" w:hAnsiTheme="minorHAnsi"/>
          <w:sz w:val="20"/>
          <w:szCs w:val="20"/>
        </w:rPr>
        <w:t xml:space="preserve"> yang lebih luas</w:t>
      </w:r>
      <w:r>
        <w:rPr>
          <w:rFonts w:asciiTheme="minorHAnsi" w:hAnsiTheme="minorHAnsi"/>
          <w:sz w:val="20"/>
          <w:szCs w:val="20"/>
          <w:lang w:val="id-ID"/>
        </w:rPr>
        <w:t>. Oleh sebab itu, indikator Angka Melek Huruf (AMH) merupakan indikator yang sangat penting untuk melihat sejauh mana penduduk suatu daerah terbuka terhadap pengetahuan. Salah satu keberhasilan program pendidikan ditunjukkan dengan semakin berkurangnya tingkat buta huruf penduduk yang berumur 15 tahun ke atas. Tingkat buta huruf merupakan bagian dari indikator kemampuan penduduk untuk berkomunikasi secara tertulis (membaca dan menulis). Kemampuan baca tulis merupakan pengetahuan paling minimum yang dibutuhkan oleh penduduk untuk mencapai hidup sejahtera. Berkaitan dengan hal itu, pemerintah berusaha agar penduduk laki-laki maupun perempuan di segala lapisan masyarakat dapat terbebaskan dari buta aksara. Berbagai kebijakan pemerintah dengan ditopang anggaran APBN dan APBD yang cukup besar diharapkan mampu menjangkau seluruh lapisan masyarakat Indonesia agar seluruhnya melek huruf.</w:t>
      </w:r>
    </w:p>
    <w:p>
      <w:pPr>
        <w:pStyle w:val="NormalWeb"/>
        <w:spacing w:before="0" w:beforeAutospacing="0" w:after="0" w:afterAutospacing="0" w:line="360" w:lineRule="auto"/>
        <w:ind w:left="284" w:firstLine="567"/>
        <w:jc w:val="both"/>
        <w:rPr>
          <w:rFonts w:asciiTheme="minorHAnsi" w:hAnsiTheme="minorHAnsi" w:cs="Arial"/>
          <w:sz w:val="20"/>
          <w:szCs w:val="20"/>
        </w:rPr>
      </w:pPr>
      <w:r>
        <w:rPr>
          <w:rFonts w:asciiTheme="minorHAnsi" w:hAnsiTheme="minorHAnsi" w:cs="Arial"/>
          <w:sz w:val="20"/>
          <w:szCs w:val="20"/>
        </w:rPr>
        <w:t xml:space="preserve">Kegiatan membaca akan mempermudah seseorang untuk memahami informasi terkait bidang kerja dan berbagai aspek yang menyangkut peningkatan kualitas hidup. Kemampuan baca-tulis dianggap penting karena melibatkan pembelajaran berkelanjutan oleh seseorang untuk dapat mencapai tujuan hidupnya, di mana hal ini berkaitan langsung dengan </w:t>
      </w:r>
      <w:r>
        <w:rPr>
          <w:rFonts w:asciiTheme="minorHAnsi" w:hAnsiTheme="minorHAnsi" w:cs="Arial"/>
          <w:sz w:val="20"/>
          <w:szCs w:val="20"/>
        </w:rPr>
        <w:lastRenderedPageBreak/>
        <w:t>bagaimana seseorang mendapatkan pengetahuan, menggali potensinya dan berpartisipasi dalam pembangunan.</w:t>
      </w:r>
    </w:p>
    <w:p>
      <w:pPr>
        <w:pStyle w:val="NormalWeb"/>
        <w:spacing w:before="0" w:beforeAutospacing="0" w:after="0" w:afterAutospacing="0" w:line="360" w:lineRule="auto"/>
        <w:ind w:left="284" w:firstLine="567"/>
        <w:jc w:val="both"/>
        <w:rPr>
          <w:rFonts w:asciiTheme="minorHAnsi" w:hAnsiTheme="minorHAnsi" w:cs="Arial"/>
          <w:sz w:val="20"/>
          <w:szCs w:val="20"/>
        </w:rPr>
      </w:pPr>
      <w:r>
        <w:rPr>
          <w:rFonts w:asciiTheme="minorHAnsi" w:hAnsiTheme="minorHAnsi" w:cs="Arial"/>
          <w:sz w:val="20"/>
          <w:szCs w:val="20"/>
        </w:rPr>
        <w:t>Kata melek huruf dapat diartikan sebagai kemampuan untuk membaca dan menulis huruf latin/arab/lainnya pada tingkat yang baik untuk berkomunikasi dengan orang lain atau dapat menyampaikan idenya dalam masyarakat. Angka Melek Huruf (AMH) adalah tolok ukur penting dalam mempertimbangkan kualitas sumber daya manusia di suatu daerah. AMH merupakan salah satu indikator penting untuk mengukur keberhasilan implementasi kebijakan bidang pendidikan. Selian itu, indikator AMH juga dapat digunakan untuk:</w:t>
      </w:r>
    </w:p>
    <w:p>
      <w:pPr>
        <w:pStyle w:val="NormalWeb"/>
        <w:numPr>
          <w:ilvl w:val="0"/>
          <w:numId w:val="23"/>
        </w:numPr>
        <w:spacing w:before="0" w:beforeAutospacing="0" w:after="0" w:afterAutospacing="0" w:line="360" w:lineRule="auto"/>
        <w:ind w:left="567" w:hanging="283"/>
        <w:jc w:val="both"/>
        <w:rPr>
          <w:rFonts w:asciiTheme="minorHAnsi" w:hAnsiTheme="minorHAnsi" w:cs="Arial"/>
          <w:sz w:val="20"/>
          <w:szCs w:val="20"/>
        </w:rPr>
      </w:pPr>
      <w:r>
        <w:rPr>
          <w:rFonts w:asciiTheme="minorHAnsi" w:hAnsiTheme="minorHAnsi" w:cs="Arial"/>
          <w:sz w:val="20"/>
          <w:szCs w:val="20"/>
        </w:rPr>
        <w:t>Mengukur keberhasilan program-program pemberantasan buta huruf, terutama di daerah perdesaan di Indonesia, di mana jumlah penduduk yang tidak pernah bersekolah atau tidak tamat SD masih tinggi;</w:t>
      </w:r>
    </w:p>
    <w:p>
      <w:pPr>
        <w:pStyle w:val="NormalWeb"/>
        <w:numPr>
          <w:ilvl w:val="0"/>
          <w:numId w:val="23"/>
        </w:numPr>
        <w:spacing w:before="0" w:beforeAutospacing="0" w:after="0" w:afterAutospacing="0" w:line="360" w:lineRule="auto"/>
        <w:ind w:left="567" w:hanging="283"/>
        <w:jc w:val="both"/>
        <w:rPr>
          <w:rFonts w:asciiTheme="minorHAnsi" w:hAnsiTheme="minorHAnsi" w:cs="Arial"/>
          <w:sz w:val="20"/>
          <w:szCs w:val="20"/>
        </w:rPr>
      </w:pPr>
      <w:r>
        <w:rPr>
          <w:rFonts w:asciiTheme="minorHAnsi" w:hAnsiTheme="minorHAnsi" w:cs="Arial"/>
          <w:sz w:val="20"/>
          <w:szCs w:val="20"/>
        </w:rPr>
        <w:t>Menunjukkan kemampuan penduduk di suatu wilayah dalam menyerap informasi dari berbagai media;</w:t>
      </w:r>
    </w:p>
    <w:p>
      <w:pPr>
        <w:pStyle w:val="NormalWeb"/>
        <w:numPr>
          <w:ilvl w:val="0"/>
          <w:numId w:val="23"/>
        </w:numPr>
        <w:spacing w:before="0" w:beforeAutospacing="0" w:after="0" w:afterAutospacing="0" w:line="360" w:lineRule="auto"/>
        <w:ind w:left="567" w:hanging="283"/>
        <w:jc w:val="both"/>
        <w:rPr>
          <w:rFonts w:asciiTheme="minorHAnsi" w:hAnsiTheme="minorHAnsi" w:cs="Arial"/>
          <w:sz w:val="20"/>
          <w:szCs w:val="20"/>
        </w:rPr>
      </w:pPr>
      <w:r>
        <w:rPr>
          <w:rFonts w:asciiTheme="minorHAnsi" w:hAnsiTheme="minorHAnsi" w:cs="Arial"/>
          <w:sz w:val="20"/>
          <w:szCs w:val="20"/>
        </w:rPr>
        <w:t>Menunjukkan kemampuan untuk berkomunikasi secara lisan dan tertulis.</w:t>
      </w:r>
    </w:p>
    <w:p>
      <w:pPr>
        <w:pStyle w:val="NormalWeb"/>
        <w:spacing w:before="0" w:beforeAutospacing="0" w:after="0" w:afterAutospacing="0" w:line="360" w:lineRule="auto"/>
        <w:ind w:left="284" w:firstLine="425"/>
        <w:jc w:val="both"/>
        <w:rPr>
          <w:rFonts w:asciiTheme="minorHAnsi" w:hAnsiTheme="minorHAnsi" w:cs="Arial"/>
          <w:sz w:val="20"/>
          <w:szCs w:val="20"/>
        </w:rPr>
      </w:pPr>
      <w:r>
        <w:rPr>
          <w:rFonts w:asciiTheme="minorHAnsi" w:hAnsiTheme="minorHAnsi" w:cs="Arial"/>
          <w:sz w:val="20"/>
          <w:szCs w:val="20"/>
        </w:rPr>
        <w:t>Dengan demikian, angka melek huruf dapat mencerminkan potensi perkembangan intelektual sekaligus kontribusi terhadap pembangunan di suatu daerah.</w:t>
      </w:r>
    </w:p>
    <w:p>
      <w:pPr>
        <w:pStyle w:val="NormalWeb"/>
        <w:spacing w:before="0" w:beforeAutospacing="0" w:after="0" w:afterAutospacing="0" w:line="360" w:lineRule="auto"/>
        <w:ind w:left="284" w:firstLine="567"/>
        <w:jc w:val="both"/>
        <w:rPr>
          <w:rFonts w:asciiTheme="minorHAnsi" w:hAnsiTheme="minorHAnsi" w:cs="Arial"/>
          <w:sz w:val="20"/>
          <w:szCs w:val="20"/>
        </w:rPr>
      </w:pPr>
      <w:r>
        <w:rPr>
          <w:rFonts w:asciiTheme="minorHAnsi" w:hAnsiTheme="minorHAnsi" w:cs="Arial"/>
          <w:sz w:val="20"/>
          <w:szCs w:val="20"/>
        </w:rPr>
        <w:t xml:space="preserve">Kebalikan dari AMH adalah Angka Buta Huruf (ABH) yang menunjukkan ketertinggalan sekelompok penduduk tertentu dalam mencapai pendidikan. Buta huruf dapat didefinisikan sebagai ketidakmampuan membaca dan menulis huruf latin/arab/lainnya. Buta </w:t>
      </w:r>
      <w:r>
        <w:rPr>
          <w:rFonts w:asciiTheme="minorHAnsi" w:hAnsiTheme="minorHAnsi" w:cs="Arial"/>
          <w:sz w:val="20"/>
          <w:szCs w:val="20"/>
        </w:rPr>
        <w:lastRenderedPageBreak/>
        <w:t>huruf sangat erat kaitannya dengan kemiskinan, keterbelakangan, kebodohan, serta ketidakberdayaan masyarakat.</w:t>
      </w:r>
    </w:p>
    <w:p>
      <w:pPr>
        <w:pStyle w:val="NormalWeb"/>
        <w:spacing w:before="0" w:beforeAutospacing="0" w:after="0" w:afterAutospacing="0" w:line="360" w:lineRule="auto"/>
        <w:ind w:left="284" w:firstLine="567"/>
        <w:jc w:val="both"/>
        <w:rPr>
          <w:rFonts w:asciiTheme="minorHAnsi" w:hAnsiTheme="minorHAnsi" w:cs="Arial"/>
          <w:sz w:val="20"/>
          <w:szCs w:val="20"/>
        </w:rPr>
      </w:pPr>
    </w:p>
    <w:p>
      <w:pPr>
        <w:pStyle w:val="NormalWeb"/>
        <w:spacing w:before="0" w:beforeAutospacing="0" w:after="0" w:afterAutospacing="0" w:line="360" w:lineRule="auto"/>
        <w:ind w:left="284" w:firstLine="567"/>
        <w:jc w:val="both"/>
        <w:rPr>
          <w:rFonts w:asciiTheme="minorHAnsi" w:hAnsiTheme="minorHAnsi" w:cs="Arial"/>
          <w:sz w:val="20"/>
          <w:szCs w:val="20"/>
        </w:rPr>
      </w:pPr>
    </w:p>
    <w:p>
      <w:pPr>
        <w:pStyle w:val="NormalWeb"/>
        <w:spacing w:before="0" w:beforeAutospacing="0" w:after="0" w:afterAutospacing="0" w:line="360" w:lineRule="auto"/>
        <w:ind w:left="284" w:firstLine="567"/>
        <w:jc w:val="both"/>
        <w:rPr>
          <w:rFonts w:asciiTheme="minorHAnsi" w:hAnsiTheme="minorHAnsi" w:cs="Arial"/>
          <w:sz w:val="20"/>
          <w:szCs w:val="20"/>
        </w:rPr>
      </w:pPr>
    </w:p>
    <w:p>
      <w:pPr>
        <w:pStyle w:val="Caption"/>
        <w:ind w:left="1418" w:hanging="1134"/>
        <w:jc w:val="both"/>
        <w:rPr>
          <w:b/>
          <w:bCs/>
          <w:i w:val="0"/>
          <w:iCs w:val="0"/>
          <w:color w:val="auto"/>
          <w:sz w:val="20"/>
          <w:szCs w:val="20"/>
          <w:lang w:val="en-US"/>
        </w:rPr>
      </w:pPr>
      <w:bookmarkStart w:id="61" w:name="_Toc117519529"/>
      <w:r>
        <w:rPr>
          <w:b/>
          <w:bCs/>
          <w:i w:val="0"/>
          <w:iCs w:val="0"/>
          <w:color w:val="auto"/>
          <w:sz w:val="20"/>
          <w:szCs w:val="20"/>
        </w:rPr>
        <w:t xml:space="preserve">Tabel 4. </w:t>
      </w:r>
      <w:r>
        <w:rPr>
          <w:b/>
          <w:bCs/>
          <w:i w:val="0"/>
          <w:iCs w:val="0"/>
          <w:color w:val="auto"/>
          <w:sz w:val="20"/>
          <w:szCs w:val="20"/>
        </w:rPr>
        <w:fldChar w:fldCharType="begin"/>
      </w:r>
      <w:r>
        <w:rPr>
          <w:b/>
          <w:bCs/>
          <w:i w:val="0"/>
          <w:iCs w:val="0"/>
          <w:color w:val="auto"/>
          <w:sz w:val="20"/>
          <w:szCs w:val="20"/>
        </w:rPr>
        <w:instrText xml:space="preserve"> SEQ Tabel_4. \* ARABIC </w:instrText>
      </w:r>
      <w:r>
        <w:rPr>
          <w:b/>
          <w:bCs/>
          <w:i w:val="0"/>
          <w:iCs w:val="0"/>
          <w:color w:val="auto"/>
          <w:sz w:val="20"/>
          <w:szCs w:val="20"/>
        </w:rPr>
        <w:fldChar w:fldCharType="separate"/>
      </w:r>
      <w:r>
        <w:rPr>
          <w:b/>
          <w:bCs/>
          <w:i w:val="0"/>
          <w:iCs w:val="0"/>
          <w:noProof/>
          <w:color w:val="auto"/>
          <w:sz w:val="20"/>
          <w:szCs w:val="20"/>
        </w:rPr>
        <w:t>10</w:t>
      </w:r>
      <w:r>
        <w:rPr>
          <w:b/>
          <w:bCs/>
          <w:i w:val="0"/>
          <w:iCs w:val="0"/>
          <w:color w:val="auto"/>
          <w:sz w:val="20"/>
          <w:szCs w:val="20"/>
        </w:rPr>
        <w:fldChar w:fldCharType="end"/>
      </w:r>
      <w:r>
        <w:rPr>
          <w:b/>
          <w:bCs/>
          <w:i w:val="0"/>
          <w:iCs w:val="0"/>
          <w:color w:val="auto"/>
          <w:sz w:val="20"/>
          <w:szCs w:val="20"/>
        </w:rPr>
        <w:tab/>
      </w:r>
      <w:r>
        <w:rPr>
          <w:rFonts w:cs="Arial"/>
          <w:b/>
          <w:bCs/>
          <w:i w:val="0"/>
          <w:iCs w:val="0"/>
          <w:color w:val="auto"/>
          <w:sz w:val="20"/>
          <w:szCs w:val="20"/>
        </w:rPr>
        <w:t>Angka Melek Huruf (AMH) Menurut Kabupaten/Kota, Kelompok Umur dan Jenis Kelamin, 2021</w:t>
      </w:r>
      <w:bookmarkEnd w:id="61"/>
    </w:p>
    <w:tbl>
      <w:tblPr>
        <w:tblW w:w="624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419"/>
        <w:gridCol w:w="603"/>
        <w:gridCol w:w="604"/>
        <w:gridCol w:w="602"/>
        <w:gridCol w:w="603"/>
        <w:gridCol w:w="602"/>
        <w:gridCol w:w="603"/>
        <w:gridCol w:w="602"/>
        <w:gridCol w:w="603"/>
      </w:tblGrid>
      <w:tr>
        <w:trPr>
          <w:cantSplit/>
          <w:trHeight w:val="397"/>
        </w:trPr>
        <w:tc>
          <w:tcPr>
            <w:tcW w:w="1419" w:type="dxa"/>
            <w:vMerge w:val="restart"/>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Kabupaten/Kota</w:t>
            </w:r>
          </w:p>
        </w:tc>
        <w:tc>
          <w:tcPr>
            <w:tcW w:w="1207" w:type="dxa"/>
            <w:gridSpan w:val="2"/>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15-19</w:t>
            </w:r>
          </w:p>
        </w:tc>
        <w:tc>
          <w:tcPr>
            <w:tcW w:w="1205" w:type="dxa"/>
            <w:gridSpan w:val="2"/>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20-24</w:t>
            </w:r>
          </w:p>
        </w:tc>
        <w:tc>
          <w:tcPr>
            <w:tcW w:w="1205" w:type="dxa"/>
            <w:gridSpan w:val="2"/>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25-29</w:t>
            </w:r>
          </w:p>
        </w:tc>
        <w:tc>
          <w:tcPr>
            <w:tcW w:w="1205" w:type="dxa"/>
            <w:gridSpan w:val="2"/>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30-34</w:t>
            </w:r>
          </w:p>
        </w:tc>
      </w:tr>
      <w:tr>
        <w:trPr>
          <w:cantSplit/>
          <w:trHeight w:val="397"/>
        </w:trPr>
        <w:tc>
          <w:tcPr>
            <w:tcW w:w="1419" w:type="dxa"/>
            <w:vMerge/>
            <w:shd w:val="clear" w:color="auto" w:fill="38003D"/>
            <w:vAlign w:val="center"/>
            <w:hideMark/>
          </w:tcPr>
          <w:p>
            <w:pPr>
              <w:spacing w:after="0" w:line="240" w:lineRule="auto"/>
              <w:rPr>
                <w:b/>
                <w:bCs/>
                <w:snapToGrid w:val="0"/>
                <w:color w:val="FFFFFF" w:themeColor="background1"/>
                <w:sz w:val="20"/>
                <w:szCs w:val="20"/>
              </w:rPr>
            </w:pPr>
          </w:p>
        </w:tc>
        <w:tc>
          <w:tcPr>
            <w:tcW w:w="603" w:type="dxa"/>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L</w:t>
            </w:r>
          </w:p>
        </w:tc>
        <w:tc>
          <w:tcPr>
            <w:tcW w:w="604" w:type="dxa"/>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P</w:t>
            </w:r>
          </w:p>
        </w:tc>
        <w:tc>
          <w:tcPr>
            <w:tcW w:w="602" w:type="dxa"/>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L</w:t>
            </w:r>
          </w:p>
        </w:tc>
        <w:tc>
          <w:tcPr>
            <w:tcW w:w="603" w:type="dxa"/>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P</w:t>
            </w:r>
          </w:p>
        </w:tc>
        <w:tc>
          <w:tcPr>
            <w:tcW w:w="602" w:type="dxa"/>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L</w:t>
            </w:r>
          </w:p>
        </w:tc>
        <w:tc>
          <w:tcPr>
            <w:tcW w:w="603" w:type="dxa"/>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P</w:t>
            </w:r>
          </w:p>
        </w:tc>
        <w:tc>
          <w:tcPr>
            <w:tcW w:w="602" w:type="dxa"/>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L</w:t>
            </w:r>
          </w:p>
        </w:tc>
        <w:tc>
          <w:tcPr>
            <w:tcW w:w="603" w:type="dxa"/>
            <w:shd w:val="clear" w:color="auto" w:fill="38003D"/>
            <w:vAlign w:val="center"/>
            <w:hideMark/>
          </w:tcPr>
          <w:p>
            <w:pPr>
              <w:spacing w:after="0" w:line="240" w:lineRule="auto"/>
              <w:jc w:val="center"/>
              <w:rPr>
                <w:b/>
                <w:bCs/>
                <w:snapToGrid w:val="0"/>
                <w:color w:val="FFFFFF" w:themeColor="background1"/>
                <w:sz w:val="20"/>
                <w:szCs w:val="20"/>
              </w:rPr>
            </w:pPr>
            <w:r>
              <w:rPr>
                <w:b/>
                <w:bCs/>
                <w:snapToGrid w:val="0"/>
                <w:color w:val="FFFFFF" w:themeColor="background1"/>
                <w:sz w:val="20"/>
                <w:szCs w:val="20"/>
              </w:rPr>
              <w:t>P</w:t>
            </w:r>
          </w:p>
        </w:tc>
      </w:tr>
      <w:tr>
        <w:trPr>
          <w:cantSplit/>
          <w:trHeight w:val="227"/>
        </w:trPr>
        <w:tc>
          <w:tcPr>
            <w:tcW w:w="1419"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(1)</w:t>
            </w:r>
          </w:p>
        </w:tc>
        <w:tc>
          <w:tcPr>
            <w:tcW w:w="603"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(2)</w:t>
            </w:r>
          </w:p>
        </w:tc>
        <w:tc>
          <w:tcPr>
            <w:tcW w:w="604"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(3)</w:t>
            </w:r>
          </w:p>
        </w:tc>
        <w:tc>
          <w:tcPr>
            <w:tcW w:w="602"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(4)</w:t>
            </w:r>
          </w:p>
        </w:tc>
        <w:tc>
          <w:tcPr>
            <w:tcW w:w="603"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(5)</w:t>
            </w:r>
          </w:p>
        </w:tc>
        <w:tc>
          <w:tcPr>
            <w:tcW w:w="602"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(6)</w:t>
            </w:r>
          </w:p>
        </w:tc>
        <w:tc>
          <w:tcPr>
            <w:tcW w:w="603"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(7)</w:t>
            </w:r>
          </w:p>
        </w:tc>
        <w:tc>
          <w:tcPr>
            <w:tcW w:w="602"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(8)</w:t>
            </w:r>
          </w:p>
        </w:tc>
        <w:tc>
          <w:tcPr>
            <w:tcW w:w="603" w:type="dxa"/>
            <w:tcBorders>
              <w:bottom w:val="single" w:sz="4" w:space="0" w:color="auto"/>
            </w:tcBorders>
            <w:shd w:val="clear" w:color="auto" w:fill="38003D"/>
            <w:vAlign w:val="center"/>
            <w:hideMark/>
          </w:tcPr>
          <w:p>
            <w:pPr>
              <w:spacing w:after="0" w:line="240" w:lineRule="auto"/>
              <w:jc w:val="center"/>
              <w:rPr>
                <w:snapToGrid w:val="0"/>
                <w:color w:val="FFFFFF" w:themeColor="background1"/>
                <w:sz w:val="20"/>
                <w:szCs w:val="20"/>
              </w:rPr>
            </w:pPr>
            <w:r>
              <w:rPr>
                <w:snapToGrid w:val="0"/>
                <w:color w:val="FFFFFF" w:themeColor="background1"/>
                <w:sz w:val="20"/>
                <w:szCs w:val="20"/>
              </w:rPr>
              <w:t>(9)</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98,97</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98,42</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99,91</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98,50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98,63</w:t>
            </w:r>
          </w:p>
        </w:tc>
        <w:tc>
          <w:tcPr>
            <w:tcW w:w="6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98,86</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99,84</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97,11</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99,11</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98,71</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99,43</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97,09</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98,15</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99,07</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c>
          <w:tcPr>
            <w:tcW w:w="6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100,00</w:t>
            </w:r>
          </w:p>
        </w:tc>
      </w:tr>
      <w:tr>
        <w:trPr>
          <w:cantSplit/>
          <w:trHeight w:val="397"/>
        </w:trPr>
        <w:tc>
          <w:tcPr>
            <w:tcW w:w="1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lastRenderedPageBreak/>
              <w:t>Kalimantan Tengah</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99,90</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99,72</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99,84</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99,92</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99,86</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99,90</w:t>
            </w:r>
          </w:p>
        </w:tc>
        <w:tc>
          <w:tcPr>
            <w:tcW w:w="6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100,00</w:t>
            </w:r>
          </w:p>
        </w:tc>
      </w:tr>
    </w:tbl>
    <w:p>
      <w:pPr>
        <w:spacing w:line="360" w:lineRule="auto"/>
        <w:ind w:left="284"/>
        <w:jc w:val="both"/>
        <w:rPr>
          <w:rFonts w:cs="Arial"/>
          <w:i/>
          <w:sz w:val="18"/>
          <w:szCs w:val="18"/>
        </w:rPr>
      </w:pPr>
      <w:r>
        <w:rPr>
          <w:rFonts w:cs="Arial"/>
          <w:i/>
          <w:sz w:val="18"/>
          <w:szCs w:val="18"/>
        </w:rPr>
        <w:t>Sumber: BPS, Susenas 2021</w:t>
      </w:r>
    </w:p>
    <w:p>
      <w:pPr>
        <w:rPr>
          <w:lang w:val="en-US"/>
        </w:rPr>
      </w:pPr>
    </w:p>
    <w:p>
      <w:pPr>
        <w:rPr>
          <w:lang w:val="en-US"/>
        </w:rPr>
      </w:pPr>
    </w:p>
    <w:p>
      <w:pPr>
        <w:ind w:left="993" w:hanging="709"/>
        <w:jc w:val="both"/>
        <w:rPr>
          <w:rFonts w:cs="Arial"/>
          <w:b/>
          <w:sz w:val="20"/>
          <w:szCs w:val="20"/>
        </w:rPr>
      </w:pPr>
      <w:r>
        <w:rPr>
          <w:rFonts w:cs="Arial"/>
          <w:b/>
          <w:sz w:val="20"/>
          <w:szCs w:val="20"/>
        </w:rPr>
        <w:t>Lanjutan Tabel 4.10</w:t>
      </w:r>
    </w:p>
    <w:tbl>
      <w:tblPr>
        <w:tblW w:w="624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61"/>
        <w:gridCol w:w="780"/>
        <w:gridCol w:w="781"/>
        <w:gridCol w:w="780"/>
        <w:gridCol w:w="779"/>
        <w:gridCol w:w="780"/>
        <w:gridCol w:w="780"/>
      </w:tblGrid>
      <w:tr>
        <w:trPr>
          <w:cantSplit/>
          <w:trHeight w:val="397"/>
        </w:trPr>
        <w:tc>
          <w:tcPr>
            <w:tcW w:w="1561" w:type="dxa"/>
            <w:vMerge w:val="restart"/>
            <w:shd w:val="clear" w:color="auto" w:fill="38003D"/>
            <w:vAlign w:val="center"/>
            <w:hideMark/>
          </w:tcPr>
          <w:p>
            <w:pPr>
              <w:spacing w:after="0"/>
              <w:jc w:val="center"/>
              <w:rPr>
                <w:b/>
                <w:bCs/>
                <w:snapToGrid w:val="0"/>
                <w:sz w:val="20"/>
                <w:szCs w:val="20"/>
              </w:rPr>
            </w:pPr>
            <w:r>
              <w:rPr>
                <w:b/>
                <w:bCs/>
                <w:snapToGrid w:val="0"/>
                <w:sz w:val="20"/>
                <w:szCs w:val="20"/>
              </w:rPr>
              <w:t>Kabupaten/Kota</w:t>
            </w:r>
          </w:p>
        </w:tc>
        <w:tc>
          <w:tcPr>
            <w:tcW w:w="1561" w:type="dxa"/>
            <w:gridSpan w:val="2"/>
            <w:shd w:val="clear" w:color="auto" w:fill="38003D"/>
            <w:vAlign w:val="center"/>
            <w:hideMark/>
          </w:tcPr>
          <w:p>
            <w:pPr>
              <w:spacing w:after="0"/>
              <w:jc w:val="center"/>
              <w:rPr>
                <w:b/>
                <w:bCs/>
                <w:snapToGrid w:val="0"/>
                <w:sz w:val="20"/>
                <w:szCs w:val="20"/>
              </w:rPr>
            </w:pPr>
            <w:r>
              <w:rPr>
                <w:b/>
                <w:bCs/>
                <w:snapToGrid w:val="0"/>
                <w:sz w:val="20"/>
                <w:szCs w:val="20"/>
              </w:rPr>
              <w:t>35-39</w:t>
            </w:r>
          </w:p>
        </w:tc>
        <w:tc>
          <w:tcPr>
            <w:tcW w:w="1559" w:type="dxa"/>
            <w:gridSpan w:val="2"/>
            <w:shd w:val="clear" w:color="auto" w:fill="38003D"/>
            <w:vAlign w:val="center"/>
            <w:hideMark/>
          </w:tcPr>
          <w:p>
            <w:pPr>
              <w:spacing w:after="0"/>
              <w:jc w:val="center"/>
              <w:rPr>
                <w:b/>
                <w:bCs/>
                <w:snapToGrid w:val="0"/>
                <w:sz w:val="20"/>
                <w:szCs w:val="20"/>
              </w:rPr>
            </w:pPr>
            <w:r>
              <w:rPr>
                <w:b/>
                <w:bCs/>
                <w:snapToGrid w:val="0"/>
                <w:sz w:val="20"/>
                <w:szCs w:val="20"/>
              </w:rPr>
              <w:t>40-44</w:t>
            </w:r>
          </w:p>
        </w:tc>
        <w:tc>
          <w:tcPr>
            <w:tcW w:w="1560" w:type="dxa"/>
            <w:gridSpan w:val="2"/>
            <w:shd w:val="clear" w:color="auto" w:fill="38003D"/>
            <w:vAlign w:val="center"/>
            <w:hideMark/>
          </w:tcPr>
          <w:p>
            <w:pPr>
              <w:spacing w:after="0"/>
              <w:jc w:val="center"/>
              <w:rPr>
                <w:b/>
                <w:bCs/>
                <w:snapToGrid w:val="0"/>
                <w:sz w:val="20"/>
                <w:szCs w:val="20"/>
              </w:rPr>
            </w:pPr>
            <w:r>
              <w:rPr>
                <w:b/>
                <w:bCs/>
                <w:snapToGrid w:val="0"/>
                <w:sz w:val="20"/>
                <w:szCs w:val="20"/>
              </w:rPr>
              <w:t>45-49</w:t>
            </w:r>
          </w:p>
        </w:tc>
      </w:tr>
      <w:tr>
        <w:trPr>
          <w:cantSplit/>
          <w:trHeight w:val="397"/>
        </w:trPr>
        <w:tc>
          <w:tcPr>
            <w:tcW w:w="1561" w:type="dxa"/>
            <w:vMerge/>
            <w:shd w:val="clear" w:color="auto" w:fill="38003D"/>
            <w:vAlign w:val="center"/>
            <w:hideMark/>
          </w:tcPr>
          <w:p>
            <w:pPr>
              <w:spacing w:after="0"/>
              <w:rPr>
                <w:b/>
                <w:bCs/>
                <w:snapToGrid w:val="0"/>
                <w:sz w:val="20"/>
                <w:szCs w:val="20"/>
              </w:rPr>
            </w:pPr>
          </w:p>
        </w:tc>
        <w:tc>
          <w:tcPr>
            <w:tcW w:w="780" w:type="dxa"/>
            <w:shd w:val="clear" w:color="auto" w:fill="38003D"/>
            <w:vAlign w:val="center"/>
            <w:hideMark/>
          </w:tcPr>
          <w:p>
            <w:pPr>
              <w:spacing w:after="0"/>
              <w:jc w:val="center"/>
              <w:rPr>
                <w:b/>
                <w:bCs/>
                <w:snapToGrid w:val="0"/>
                <w:sz w:val="20"/>
                <w:szCs w:val="20"/>
              </w:rPr>
            </w:pPr>
            <w:r>
              <w:rPr>
                <w:b/>
                <w:bCs/>
                <w:snapToGrid w:val="0"/>
                <w:sz w:val="20"/>
                <w:szCs w:val="20"/>
              </w:rPr>
              <w:t>L</w:t>
            </w:r>
          </w:p>
        </w:tc>
        <w:tc>
          <w:tcPr>
            <w:tcW w:w="781" w:type="dxa"/>
            <w:shd w:val="clear" w:color="auto" w:fill="38003D"/>
            <w:vAlign w:val="center"/>
            <w:hideMark/>
          </w:tcPr>
          <w:p>
            <w:pPr>
              <w:spacing w:after="0"/>
              <w:jc w:val="center"/>
              <w:rPr>
                <w:b/>
                <w:bCs/>
                <w:snapToGrid w:val="0"/>
                <w:sz w:val="20"/>
                <w:szCs w:val="20"/>
              </w:rPr>
            </w:pPr>
            <w:r>
              <w:rPr>
                <w:b/>
                <w:bCs/>
                <w:snapToGrid w:val="0"/>
                <w:sz w:val="20"/>
                <w:szCs w:val="20"/>
              </w:rPr>
              <w:t>P</w:t>
            </w:r>
          </w:p>
        </w:tc>
        <w:tc>
          <w:tcPr>
            <w:tcW w:w="780" w:type="dxa"/>
            <w:shd w:val="clear" w:color="auto" w:fill="38003D"/>
            <w:vAlign w:val="center"/>
            <w:hideMark/>
          </w:tcPr>
          <w:p>
            <w:pPr>
              <w:spacing w:after="0"/>
              <w:jc w:val="center"/>
              <w:rPr>
                <w:b/>
                <w:bCs/>
                <w:snapToGrid w:val="0"/>
                <w:sz w:val="20"/>
                <w:szCs w:val="20"/>
              </w:rPr>
            </w:pPr>
            <w:r>
              <w:rPr>
                <w:b/>
                <w:bCs/>
                <w:snapToGrid w:val="0"/>
                <w:sz w:val="20"/>
                <w:szCs w:val="20"/>
              </w:rPr>
              <w:t>L</w:t>
            </w:r>
          </w:p>
        </w:tc>
        <w:tc>
          <w:tcPr>
            <w:tcW w:w="779" w:type="dxa"/>
            <w:shd w:val="clear" w:color="auto" w:fill="38003D"/>
            <w:vAlign w:val="center"/>
            <w:hideMark/>
          </w:tcPr>
          <w:p>
            <w:pPr>
              <w:spacing w:after="0"/>
              <w:jc w:val="center"/>
              <w:rPr>
                <w:b/>
                <w:bCs/>
                <w:snapToGrid w:val="0"/>
                <w:sz w:val="20"/>
                <w:szCs w:val="20"/>
              </w:rPr>
            </w:pPr>
            <w:r>
              <w:rPr>
                <w:b/>
                <w:bCs/>
                <w:snapToGrid w:val="0"/>
                <w:sz w:val="20"/>
                <w:szCs w:val="20"/>
              </w:rPr>
              <w:t>P</w:t>
            </w:r>
          </w:p>
        </w:tc>
        <w:tc>
          <w:tcPr>
            <w:tcW w:w="780" w:type="dxa"/>
            <w:shd w:val="clear" w:color="auto" w:fill="38003D"/>
            <w:vAlign w:val="center"/>
            <w:hideMark/>
          </w:tcPr>
          <w:p>
            <w:pPr>
              <w:spacing w:after="0"/>
              <w:jc w:val="center"/>
              <w:rPr>
                <w:b/>
                <w:bCs/>
                <w:snapToGrid w:val="0"/>
                <w:sz w:val="20"/>
                <w:szCs w:val="20"/>
              </w:rPr>
            </w:pPr>
            <w:r>
              <w:rPr>
                <w:b/>
                <w:bCs/>
                <w:snapToGrid w:val="0"/>
                <w:sz w:val="20"/>
                <w:szCs w:val="20"/>
              </w:rPr>
              <w:t>L</w:t>
            </w:r>
          </w:p>
        </w:tc>
        <w:tc>
          <w:tcPr>
            <w:tcW w:w="780" w:type="dxa"/>
            <w:shd w:val="clear" w:color="auto" w:fill="38003D"/>
            <w:vAlign w:val="center"/>
            <w:hideMark/>
          </w:tcPr>
          <w:p>
            <w:pPr>
              <w:spacing w:after="0"/>
              <w:jc w:val="center"/>
              <w:rPr>
                <w:b/>
                <w:bCs/>
                <w:snapToGrid w:val="0"/>
                <w:sz w:val="20"/>
                <w:szCs w:val="20"/>
              </w:rPr>
            </w:pPr>
            <w:r>
              <w:rPr>
                <w:b/>
                <w:bCs/>
                <w:snapToGrid w:val="0"/>
                <w:sz w:val="20"/>
                <w:szCs w:val="20"/>
              </w:rPr>
              <w:t>P</w:t>
            </w:r>
          </w:p>
        </w:tc>
      </w:tr>
      <w:tr>
        <w:trPr>
          <w:cantSplit/>
          <w:trHeight w:val="227"/>
        </w:trPr>
        <w:tc>
          <w:tcPr>
            <w:tcW w:w="1561"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(1)</w:t>
            </w:r>
          </w:p>
        </w:tc>
        <w:tc>
          <w:tcPr>
            <w:tcW w:w="780"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(10)</w:t>
            </w:r>
          </w:p>
        </w:tc>
        <w:tc>
          <w:tcPr>
            <w:tcW w:w="781"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(11)</w:t>
            </w:r>
          </w:p>
        </w:tc>
        <w:tc>
          <w:tcPr>
            <w:tcW w:w="780"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(12)</w:t>
            </w:r>
          </w:p>
        </w:tc>
        <w:tc>
          <w:tcPr>
            <w:tcW w:w="779"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(13)</w:t>
            </w:r>
          </w:p>
        </w:tc>
        <w:tc>
          <w:tcPr>
            <w:tcW w:w="780"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(14)</w:t>
            </w:r>
          </w:p>
        </w:tc>
        <w:tc>
          <w:tcPr>
            <w:tcW w:w="780"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(15)</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Kotawaringin Barat</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Kotawaringin Timur</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Kapuas</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98,87</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Barito Selatan</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Barito Utara</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Sukamara</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Lamandau</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99,34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Seruyan</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Katingan</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Pulang Pisau</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Gunung Mas</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Barito Timur</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Murung Raya</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97,54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Palangka Raya</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sz w:val="18"/>
                <w:szCs w:val="18"/>
              </w:rPr>
            </w:pPr>
            <w:r>
              <w:rPr>
                <w:rFonts w:cstheme="minorHAnsi"/>
                <w:sz w:val="18"/>
                <w:szCs w:val="18"/>
              </w:rPr>
              <w:t>100,00</w:t>
            </w:r>
          </w:p>
        </w:tc>
      </w:tr>
      <w:tr>
        <w:trPr>
          <w:cantSplit/>
          <w:trHeight w:val="397"/>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b/>
                <w:sz w:val="18"/>
                <w:szCs w:val="18"/>
              </w:rPr>
            </w:pPr>
            <w:r>
              <w:rPr>
                <w:b/>
                <w:sz w:val="18"/>
                <w:szCs w:val="18"/>
              </w:rPr>
              <w:t>Kalimantan Tengah</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99,86</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99,89</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sz w:val="18"/>
                <w:szCs w:val="18"/>
              </w:rPr>
            </w:pPr>
            <w:r>
              <w:rPr>
                <w:rFonts w:cstheme="minorHAnsi"/>
                <w:sz w:val="18"/>
                <w:szCs w:val="18"/>
              </w:rPr>
              <w:t>100,00</w:t>
            </w:r>
          </w:p>
        </w:tc>
      </w:tr>
    </w:tbl>
    <w:p>
      <w:pPr>
        <w:spacing w:line="360" w:lineRule="auto"/>
        <w:ind w:left="284"/>
        <w:jc w:val="both"/>
        <w:rPr>
          <w:rFonts w:cs="Arial"/>
          <w:i/>
          <w:sz w:val="18"/>
          <w:szCs w:val="18"/>
        </w:rPr>
      </w:pPr>
      <w:r>
        <w:rPr>
          <w:rFonts w:cs="Arial"/>
          <w:i/>
          <w:sz w:val="18"/>
          <w:szCs w:val="18"/>
        </w:rPr>
        <w:lastRenderedPageBreak/>
        <w:t>Sumber: BPS, Susenas 2021</w:t>
      </w:r>
    </w:p>
    <w:p>
      <w:pPr>
        <w:rPr>
          <w:lang w:val="en-US"/>
        </w:rPr>
      </w:pPr>
    </w:p>
    <w:p>
      <w:pPr>
        <w:rPr>
          <w:lang w:val="en-US"/>
        </w:rPr>
      </w:pPr>
    </w:p>
    <w:p>
      <w:pPr>
        <w:rPr>
          <w:lang w:val="en-US"/>
        </w:rPr>
      </w:pPr>
    </w:p>
    <w:p>
      <w:pPr>
        <w:ind w:left="993" w:hanging="709"/>
        <w:jc w:val="both"/>
        <w:rPr>
          <w:rFonts w:cs="Arial"/>
          <w:b/>
          <w:sz w:val="20"/>
          <w:szCs w:val="20"/>
        </w:rPr>
      </w:pPr>
      <w:r>
        <w:rPr>
          <w:rFonts w:cs="Arial"/>
          <w:b/>
          <w:sz w:val="20"/>
          <w:szCs w:val="20"/>
        </w:rPr>
        <w:t>Lanjutan Tabel 4.10</w:t>
      </w:r>
    </w:p>
    <w:tbl>
      <w:tblPr>
        <w:tblW w:w="609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699"/>
        <w:gridCol w:w="731"/>
        <w:gridCol w:w="731"/>
        <w:gridCol w:w="733"/>
        <w:gridCol w:w="732"/>
        <w:gridCol w:w="732"/>
        <w:gridCol w:w="733"/>
      </w:tblGrid>
      <w:tr>
        <w:trPr>
          <w:cantSplit/>
          <w:trHeight w:val="397"/>
        </w:trPr>
        <w:tc>
          <w:tcPr>
            <w:tcW w:w="1699" w:type="dxa"/>
            <w:vMerge w:val="restart"/>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Kabupaten/Kota</w:t>
            </w:r>
          </w:p>
        </w:tc>
        <w:tc>
          <w:tcPr>
            <w:tcW w:w="1462" w:type="dxa"/>
            <w:gridSpan w:val="2"/>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50-54</w:t>
            </w:r>
          </w:p>
        </w:tc>
        <w:tc>
          <w:tcPr>
            <w:tcW w:w="1465" w:type="dxa"/>
            <w:gridSpan w:val="2"/>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55-59</w:t>
            </w:r>
          </w:p>
        </w:tc>
        <w:tc>
          <w:tcPr>
            <w:tcW w:w="1465" w:type="dxa"/>
            <w:gridSpan w:val="2"/>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60+</w:t>
            </w:r>
          </w:p>
        </w:tc>
      </w:tr>
      <w:tr>
        <w:trPr>
          <w:cantSplit/>
          <w:trHeight w:val="397"/>
        </w:trPr>
        <w:tc>
          <w:tcPr>
            <w:tcW w:w="1699" w:type="dxa"/>
            <w:vMerge/>
            <w:shd w:val="clear" w:color="auto" w:fill="38003D"/>
            <w:vAlign w:val="center"/>
            <w:hideMark/>
          </w:tcPr>
          <w:p>
            <w:pPr>
              <w:spacing w:after="0" w:line="240" w:lineRule="auto"/>
              <w:ind w:left="260" w:hanging="260"/>
              <w:rPr>
                <w:b/>
                <w:bCs/>
                <w:snapToGrid w:val="0"/>
                <w:sz w:val="20"/>
                <w:szCs w:val="20"/>
              </w:rPr>
            </w:pPr>
          </w:p>
        </w:tc>
        <w:tc>
          <w:tcPr>
            <w:tcW w:w="731" w:type="dxa"/>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L</w:t>
            </w:r>
          </w:p>
        </w:tc>
        <w:tc>
          <w:tcPr>
            <w:tcW w:w="731" w:type="dxa"/>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P</w:t>
            </w:r>
          </w:p>
        </w:tc>
        <w:tc>
          <w:tcPr>
            <w:tcW w:w="733" w:type="dxa"/>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L</w:t>
            </w:r>
          </w:p>
        </w:tc>
        <w:tc>
          <w:tcPr>
            <w:tcW w:w="732" w:type="dxa"/>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P</w:t>
            </w:r>
          </w:p>
        </w:tc>
        <w:tc>
          <w:tcPr>
            <w:tcW w:w="732" w:type="dxa"/>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L</w:t>
            </w:r>
          </w:p>
        </w:tc>
        <w:tc>
          <w:tcPr>
            <w:tcW w:w="733" w:type="dxa"/>
            <w:shd w:val="clear" w:color="auto" w:fill="38003D"/>
            <w:vAlign w:val="center"/>
            <w:hideMark/>
          </w:tcPr>
          <w:p>
            <w:pPr>
              <w:spacing w:after="0" w:line="240" w:lineRule="auto"/>
              <w:ind w:left="260" w:hanging="260"/>
              <w:jc w:val="center"/>
              <w:rPr>
                <w:b/>
                <w:bCs/>
                <w:snapToGrid w:val="0"/>
                <w:sz w:val="20"/>
                <w:szCs w:val="20"/>
              </w:rPr>
            </w:pPr>
            <w:r>
              <w:rPr>
                <w:b/>
                <w:bCs/>
                <w:snapToGrid w:val="0"/>
                <w:sz w:val="20"/>
                <w:szCs w:val="20"/>
              </w:rPr>
              <w:t>P</w:t>
            </w:r>
          </w:p>
        </w:tc>
      </w:tr>
      <w:tr>
        <w:trPr>
          <w:cantSplit/>
          <w:trHeight w:val="227"/>
        </w:trPr>
        <w:tc>
          <w:tcPr>
            <w:tcW w:w="1699" w:type="dxa"/>
            <w:tcBorders>
              <w:bottom w:val="single" w:sz="4" w:space="0" w:color="auto"/>
            </w:tcBorders>
            <w:shd w:val="clear" w:color="auto" w:fill="38003D"/>
            <w:vAlign w:val="center"/>
            <w:hideMark/>
          </w:tcPr>
          <w:p>
            <w:pPr>
              <w:spacing w:after="0" w:line="240" w:lineRule="auto"/>
              <w:ind w:left="260" w:hanging="260"/>
              <w:jc w:val="center"/>
              <w:rPr>
                <w:snapToGrid w:val="0"/>
                <w:sz w:val="20"/>
                <w:szCs w:val="20"/>
              </w:rPr>
            </w:pPr>
            <w:r>
              <w:rPr>
                <w:snapToGrid w:val="0"/>
                <w:sz w:val="20"/>
                <w:szCs w:val="20"/>
              </w:rPr>
              <w:t>(1)</w:t>
            </w:r>
          </w:p>
        </w:tc>
        <w:tc>
          <w:tcPr>
            <w:tcW w:w="731" w:type="dxa"/>
            <w:tcBorders>
              <w:bottom w:val="single" w:sz="4" w:space="0" w:color="auto"/>
            </w:tcBorders>
            <w:shd w:val="clear" w:color="auto" w:fill="38003D"/>
            <w:vAlign w:val="center"/>
            <w:hideMark/>
          </w:tcPr>
          <w:p>
            <w:pPr>
              <w:spacing w:after="0" w:line="240" w:lineRule="auto"/>
              <w:ind w:left="260" w:hanging="260"/>
              <w:jc w:val="center"/>
              <w:rPr>
                <w:snapToGrid w:val="0"/>
                <w:sz w:val="20"/>
                <w:szCs w:val="20"/>
              </w:rPr>
            </w:pPr>
            <w:r>
              <w:rPr>
                <w:snapToGrid w:val="0"/>
                <w:sz w:val="20"/>
                <w:szCs w:val="20"/>
              </w:rPr>
              <w:t>(16)</w:t>
            </w:r>
          </w:p>
        </w:tc>
        <w:tc>
          <w:tcPr>
            <w:tcW w:w="731" w:type="dxa"/>
            <w:tcBorders>
              <w:bottom w:val="single" w:sz="4" w:space="0" w:color="auto"/>
            </w:tcBorders>
            <w:shd w:val="clear" w:color="auto" w:fill="38003D"/>
            <w:vAlign w:val="center"/>
            <w:hideMark/>
          </w:tcPr>
          <w:p>
            <w:pPr>
              <w:spacing w:after="0" w:line="240" w:lineRule="auto"/>
              <w:ind w:left="260" w:hanging="260"/>
              <w:jc w:val="center"/>
              <w:rPr>
                <w:snapToGrid w:val="0"/>
                <w:sz w:val="20"/>
                <w:szCs w:val="20"/>
              </w:rPr>
            </w:pPr>
            <w:r>
              <w:rPr>
                <w:snapToGrid w:val="0"/>
                <w:sz w:val="20"/>
                <w:szCs w:val="20"/>
              </w:rPr>
              <w:t>(17)</w:t>
            </w:r>
          </w:p>
        </w:tc>
        <w:tc>
          <w:tcPr>
            <w:tcW w:w="733" w:type="dxa"/>
            <w:tcBorders>
              <w:bottom w:val="single" w:sz="4" w:space="0" w:color="auto"/>
            </w:tcBorders>
            <w:shd w:val="clear" w:color="auto" w:fill="38003D"/>
            <w:vAlign w:val="center"/>
            <w:hideMark/>
          </w:tcPr>
          <w:p>
            <w:pPr>
              <w:spacing w:after="0" w:line="240" w:lineRule="auto"/>
              <w:ind w:left="260" w:hanging="260"/>
              <w:jc w:val="center"/>
              <w:rPr>
                <w:snapToGrid w:val="0"/>
                <w:sz w:val="20"/>
                <w:szCs w:val="20"/>
              </w:rPr>
            </w:pPr>
            <w:r>
              <w:rPr>
                <w:snapToGrid w:val="0"/>
                <w:sz w:val="20"/>
                <w:szCs w:val="20"/>
              </w:rPr>
              <w:t>(18)</w:t>
            </w:r>
          </w:p>
        </w:tc>
        <w:tc>
          <w:tcPr>
            <w:tcW w:w="732" w:type="dxa"/>
            <w:tcBorders>
              <w:bottom w:val="single" w:sz="4" w:space="0" w:color="auto"/>
            </w:tcBorders>
            <w:shd w:val="clear" w:color="auto" w:fill="38003D"/>
            <w:vAlign w:val="center"/>
            <w:hideMark/>
          </w:tcPr>
          <w:p>
            <w:pPr>
              <w:spacing w:after="0" w:line="240" w:lineRule="auto"/>
              <w:ind w:left="260" w:hanging="260"/>
              <w:jc w:val="center"/>
              <w:rPr>
                <w:snapToGrid w:val="0"/>
                <w:sz w:val="20"/>
                <w:szCs w:val="20"/>
              </w:rPr>
            </w:pPr>
            <w:r>
              <w:rPr>
                <w:snapToGrid w:val="0"/>
                <w:sz w:val="20"/>
                <w:szCs w:val="20"/>
              </w:rPr>
              <w:t>(19)</w:t>
            </w:r>
          </w:p>
        </w:tc>
        <w:tc>
          <w:tcPr>
            <w:tcW w:w="732" w:type="dxa"/>
            <w:tcBorders>
              <w:bottom w:val="single" w:sz="4" w:space="0" w:color="auto"/>
            </w:tcBorders>
            <w:shd w:val="clear" w:color="auto" w:fill="38003D"/>
            <w:vAlign w:val="center"/>
            <w:hideMark/>
          </w:tcPr>
          <w:p>
            <w:pPr>
              <w:spacing w:after="0" w:line="240" w:lineRule="auto"/>
              <w:ind w:left="260" w:hanging="260"/>
              <w:jc w:val="center"/>
              <w:rPr>
                <w:snapToGrid w:val="0"/>
                <w:sz w:val="20"/>
                <w:szCs w:val="20"/>
              </w:rPr>
            </w:pPr>
            <w:r>
              <w:rPr>
                <w:snapToGrid w:val="0"/>
                <w:sz w:val="20"/>
                <w:szCs w:val="20"/>
              </w:rPr>
              <w:t>(20)</w:t>
            </w:r>
          </w:p>
        </w:tc>
        <w:tc>
          <w:tcPr>
            <w:tcW w:w="733" w:type="dxa"/>
            <w:tcBorders>
              <w:bottom w:val="single" w:sz="4" w:space="0" w:color="auto"/>
            </w:tcBorders>
            <w:shd w:val="clear" w:color="auto" w:fill="38003D"/>
            <w:vAlign w:val="center"/>
            <w:hideMark/>
          </w:tcPr>
          <w:p>
            <w:pPr>
              <w:spacing w:after="0" w:line="240" w:lineRule="auto"/>
              <w:ind w:left="260" w:hanging="260"/>
              <w:jc w:val="center"/>
              <w:rPr>
                <w:snapToGrid w:val="0"/>
                <w:sz w:val="20"/>
                <w:szCs w:val="20"/>
              </w:rPr>
            </w:pPr>
            <w:r>
              <w:rPr>
                <w:snapToGrid w:val="0"/>
                <w:sz w:val="20"/>
                <w:szCs w:val="20"/>
              </w:rPr>
              <w:t>(21)</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ind w:left="260" w:hanging="260"/>
              <w:rPr>
                <w:sz w:val="20"/>
                <w:szCs w:val="20"/>
              </w:rPr>
            </w:pPr>
            <w:r>
              <w:rPr>
                <w:sz w:val="20"/>
                <w:szCs w:val="20"/>
              </w:rPr>
              <w:t>Kotawaringin Barat</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89,55</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88,94</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ind w:left="260" w:hanging="260"/>
              <w:rPr>
                <w:sz w:val="20"/>
                <w:szCs w:val="20"/>
              </w:rPr>
            </w:pPr>
            <w:r>
              <w:rPr>
                <w:sz w:val="20"/>
                <w:szCs w:val="20"/>
              </w:rPr>
              <w:t>Kotawaringin Timur</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89,53</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90,72</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ind w:left="260" w:hanging="260"/>
              <w:rPr>
                <w:sz w:val="20"/>
                <w:szCs w:val="20"/>
              </w:rPr>
            </w:pPr>
            <w:r>
              <w:rPr>
                <w:sz w:val="20"/>
                <w:szCs w:val="20"/>
              </w:rPr>
              <w:t>Kapuas</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95,64</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83,89</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ind w:left="260" w:hanging="260"/>
              <w:rPr>
                <w:sz w:val="20"/>
                <w:szCs w:val="20"/>
              </w:rPr>
            </w:pPr>
            <w:r>
              <w:rPr>
                <w:sz w:val="20"/>
                <w:szCs w:val="20"/>
              </w:rPr>
              <w:t>Barito Selatan</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98,24</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90,94</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ind w:left="260" w:hanging="260"/>
              <w:rPr>
                <w:sz w:val="20"/>
                <w:szCs w:val="20"/>
              </w:rPr>
            </w:pPr>
            <w:r>
              <w:rPr>
                <w:sz w:val="20"/>
                <w:szCs w:val="20"/>
              </w:rPr>
              <w:t>Barito Utara</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96,78</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92,52</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ind w:left="260" w:hanging="260"/>
              <w:rPr>
                <w:sz w:val="20"/>
                <w:szCs w:val="20"/>
              </w:rPr>
            </w:pPr>
            <w:r>
              <w:rPr>
                <w:sz w:val="20"/>
                <w:szCs w:val="20"/>
              </w:rPr>
              <w:t>Sukamara</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87,09</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74,08</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ind w:left="260" w:hanging="260"/>
              <w:rPr>
                <w:sz w:val="20"/>
                <w:szCs w:val="20"/>
              </w:rPr>
            </w:pPr>
            <w:r>
              <w:rPr>
                <w:sz w:val="20"/>
                <w:szCs w:val="20"/>
              </w:rPr>
              <w:t>Lamandau</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85,76</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75,32</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ind w:left="260" w:hanging="260"/>
              <w:rPr>
                <w:sz w:val="20"/>
                <w:szCs w:val="20"/>
              </w:rPr>
            </w:pPr>
            <w:r>
              <w:rPr>
                <w:sz w:val="20"/>
                <w:szCs w:val="20"/>
              </w:rPr>
              <w:t>Seruyan</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99,33</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78,25</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ind w:left="260" w:hanging="260"/>
              <w:rPr>
                <w:sz w:val="20"/>
                <w:szCs w:val="20"/>
              </w:rPr>
            </w:pPr>
            <w:r>
              <w:rPr>
                <w:sz w:val="20"/>
                <w:szCs w:val="20"/>
              </w:rPr>
              <w:t>Katingan</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95,83</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ind w:left="260" w:hanging="260"/>
              <w:rPr>
                <w:sz w:val="20"/>
                <w:szCs w:val="20"/>
              </w:rPr>
            </w:pPr>
            <w:r>
              <w:rPr>
                <w:sz w:val="20"/>
                <w:szCs w:val="20"/>
              </w:rPr>
              <w:t>Pulang Pisau</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93,83</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85,16</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ind w:left="260" w:hanging="260"/>
              <w:rPr>
                <w:sz w:val="20"/>
                <w:szCs w:val="20"/>
              </w:rPr>
            </w:pPr>
            <w:r>
              <w:rPr>
                <w:sz w:val="20"/>
                <w:szCs w:val="20"/>
              </w:rPr>
              <w:t>Gunung Mas</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99,19</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94,01</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ind w:left="260" w:hanging="260"/>
              <w:rPr>
                <w:sz w:val="20"/>
                <w:szCs w:val="20"/>
              </w:rPr>
            </w:pPr>
            <w:r>
              <w:rPr>
                <w:sz w:val="20"/>
                <w:szCs w:val="20"/>
              </w:rPr>
              <w:t>Barito Timur</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91,91</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ind w:left="260" w:hanging="260"/>
              <w:rPr>
                <w:sz w:val="20"/>
                <w:szCs w:val="20"/>
              </w:rPr>
            </w:pPr>
            <w:r>
              <w:rPr>
                <w:sz w:val="20"/>
                <w:szCs w:val="20"/>
              </w:rPr>
              <w:t>Murung Raya</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91,23</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91,15</w:t>
            </w:r>
          </w:p>
        </w:tc>
      </w:tr>
      <w:tr>
        <w:trPr>
          <w:cantSplit/>
          <w:trHeight w:val="340"/>
        </w:trPr>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ind w:left="260" w:hanging="260"/>
              <w:rPr>
                <w:sz w:val="20"/>
                <w:szCs w:val="20"/>
              </w:rPr>
            </w:pPr>
            <w:r>
              <w:rPr>
                <w:sz w:val="20"/>
                <w:szCs w:val="20"/>
              </w:rPr>
              <w:t>Palangka Raya</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96,15</w:t>
            </w:r>
          </w:p>
        </w:tc>
        <w:tc>
          <w:tcPr>
            <w:tcW w:w="7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ind w:left="260" w:hanging="260"/>
              <w:jc w:val="center"/>
              <w:rPr>
                <w:rFonts w:cstheme="minorHAnsi"/>
                <w:sz w:val="18"/>
                <w:szCs w:val="18"/>
              </w:rPr>
            </w:pPr>
            <w:r>
              <w:rPr>
                <w:rFonts w:cstheme="minorHAnsi"/>
                <w:sz w:val="18"/>
                <w:szCs w:val="18"/>
              </w:rPr>
              <w:t>95,79</w:t>
            </w:r>
          </w:p>
        </w:tc>
      </w:tr>
      <w:tr>
        <w:trPr>
          <w:cantSplit/>
          <w:trHeight w:val="397"/>
        </w:trPr>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ind w:left="260" w:hanging="260"/>
              <w:rPr>
                <w:b/>
                <w:sz w:val="20"/>
                <w:szCs w:val="20"/>
              </w:rPr>
            </w:pPr>
            <w:r>
              <w:rPr>
                <w:b/>
                <w:sz w:val="20"/>
                <w:szCs w:val="20"/>
              </w:rPr>
              <w:t>Kalimantan Tengah</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100,00</w:t>
            </w:r>
          </w:p>
        </w:tc>
        <w:tc>
          <w:tcPr>
            <w:tcW w:w="7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94,37</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ind w:left="260" w:hanging="260"/>
              <w:jc w:val="center"/>
              <w:rPr>
                <w:rFonts w:cstheme="minorHAnsi"/>
                <w:sz w:val="18"/>
                <w:szCs w:val="18"/>
              </w:rPr>
            </w:pPr>
            <w:r>
              <w:rPr>
                <w:rFonts w:cstheme="minorHAnsi"/>
                <w:sz w:val="18"/>
                <w:szCs w:val="18"/>
              </w:rPr>
              <w:t>88,81</w:t>
            </w:r>
          </w:p>
        </w:tc>
      </w:tr>
    </w:tbl>
    <w:p>
      <w:pPr>
        <w:spacing w:line="240" w:lineRule="auto"/>
        <w:ind w:left="284"/>
        <w:jc w:val="both"/>
        <w:rPr>
          <w:rFonts w:cs="Arial"/>
          <w:i/>
          <w:sz w:val="18"/>
          <w:szCs w:val="18"/>
        </w:rPr>
      </w:pPr>
      <w:r>
        <w:rPr>
          <w:rFonts w:cs="Arial"/>
          <w:i/>
          <w:sz w:val="18"/>
          <w:szCs w:val="18"/>
        </w:rPr>
        <w:lastRenderedPageBreak/>
        <w:t>Sumber: BPS, Susenas 2021</w:t>
      </w:r>
    </w:p>
    <w:p>
      <w:pPr>
        <w:spacing w:line="360" w:lineRule="auto"/>
        <w:ind w:left="284" w:firstLine="567"/>
        <w:jc w:val="both"/>
        <w:rPr>
          <w:rFonts w:cs="Arial"/>
          <w:sz w:val="20"/>
          <w:szCs w:val="20"/>
        </w:rPr>
      </w:pPr>
      <w:r>
        <w:rPr>
          <w:rFonts w:cs="Arial"/>
          <w:sz w:val="20"/>
          <w:szCs w:val="20"/>
        </w:rPr>
        <w:t>Jika dilihat menurut kelompok umur, persentase penduduk melek huruf pada umur tua lebih rendah dibandingkan umur muda. Hal ini bisa dimaklumi mengingat keadaan pendidikan yang dialami oleh penduduk pada puluhan tahun yang lalu masih belum berkualitas dan jauh dari pemerataan. Akan tetapi, seiring berjalannya waktu, saat ini capaian angka melek huruf sudah semakin meningkat. Hal ini terlihat pada kelompok usia muda, nilai AMH semakin mendekati 100. Bahkan pada kelompok usia dewasa akhir yakni pada rentang usia 45-59 tahun menunjukkan angka 100 baik pada laki-laki maupun perempuan. Ini artinya, semua penduduk umur 45-59 tahun di Kalimantan Tengah pada tahun 2021 sudah bisa membaca dan menulis (tidak</w:t>
      </w:r>
      <w:r>
        <w:rPr>
          <w:rFonts w:cs="Arial"/>
          <w:sz w:val="20"/>
          <w:szCs w:val="20"/>
          <w:lang w:val="en-US"/>
        </w:rPr>
        <w:t xml:space="preserve"> </w:t>
      </w:r>
      <w:r>
        <w:rPr>
          <w:rFonts w:cs="Arial"/>
          <w:sz w:val="20"/>
          <w:szCs w:val="20"/>
        </w:rPr>
        <w:t>ada satupun yang buta huruf).</w:t>
      </w:r>
    </w:p>
    <w:p>
      <w:pPr>
        <w:pStyle w:val="Caption"/>
        <w:ind w:left="1418" w:hanging="1134"/>
        <w:jc w:val="both"/>
        <w:rPr>
          <w:b/>
          <w:bCs/>
          <w:i w:val="0"/>
          <w:iCs w:val="0"/>
          <w:color w:val="auto"/>
          <w:sz w:val="20"/>
          <w:szCs w:val="20"/>
          <w:lang w:val="en-US"/>
        </w:rPr>
      </w:pPr>
      <w:bookmarkStart w:id="62" w:name="_Toc117519606"/>
      <w:r>
        <w:rPr>
          <w:noProof/>
          <w:lang w:val="en-ID" w:eastAsia="en-ID"/>
        </w:rPr>
        <w:drawing>
          <wp:anchor distT="0" distB="0" distL="114300" distR="114300" simplePos="0" relativeHeight="251667456" behindDoc="0" locked="0" layoutInCell="1" allowOverlap="1">
            <wp:simplePos x="0" y="0"/>
            <wp:positionH relativeFrom="column">
              <wp:posOffset>192405</wp:posOffset>
            </wp:positionH>
            <wp:positionV relativeFrom="paragraph">
              <wp:posOffset>624205</wp:posOffset>
            </wp:positionV>
            <wp:extent cx="3925570" cy="2553970"/>
            <wp:effectExtent l="0" t="0" r="0" b="0"/>
            <wp:wrapTopAndBottom/>
            <wp:docPr id="25" name="Chart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69ECE4-B630-FF07-E3BC-02A21F508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Pr>
          <w:b/>
          <w:bCs/>
          <w:i w:val="0"/>
          <w:iCs w:val="0"/>
          <w:color w:val="auto"/>
          <w:sz w:val="20"/>
          <w:szCs w:val="20"/>
        </w:rPr>
        <w:t xml:space="preserve">Gambar 4. </w:t>
      </w:r>
      <w:r>
        <w:rPr>
          <w:b/>
          <w:bCs/>
          <w:i w:val="0"/>
          <w:iCs w:val="0"/>
          <w:color w:val="auto"/>
          <w:sz w:val="20"/>
          <w:szCs w:val="20"/>
        </w:rPr>
        <w:fldChar w:fldCharType="begin"/>
      </w:r>
      <w:r>
        <w:rPr>
          <w:b/>
          <w:bCs/>
          <w:i w:val="0"/>
          <w:iCs w:val="0"/>
          <w:color w:val="auto"/>
          <w:sz w:val="20"/>
          <w:szCs w:val="20"/>
        </w:rPr>
        <w:instrText xml:space="preserve"> SEQ Gambar_4. \* ARABIC </w:instrText>
      </w:r>
      <w:r>
        <w:rPr>
          <w:b/>
          <w:bCs/>
          <w:i w:val="0"/>
          <w:iCs w:val="0"/>
          <w:color w:val="auto"/>
          <w:sz w:val="20"/>
          <w:szCs w:val="20"/>
        </w:rPr>
        <w:fldChar w:fldCharType="separate"/>
      </w:r>
      <w:r>
        <w:rPr>
          <w:b/>
          <w:bCs/>
          <w:i w:val="0"/>
          <w:iCs w:val="0"/>
          <w:noProof/>
          <w:color w:val="auto"/>
          <w:sz w:val="20"/>
          <w:szCs w:val="20"/>
        </w:rPr>
        <w:t>1</w:t>
      </w:r>
      <w:r>
        <w:rPr>
          <w:b/>
          <w:bCs/>
          <w:i w:val="0"/>
          <w:iCs w:val="0"/>
          <w:color w:val="auto"/>
          <w:sz w:val="20"/>
          <w:szCs w:val="20"/>
        </w:rPr>
        <w:fldChar w:fldCharType="end"/>
      </w:r>
      <w:r>
        <w:rPr>
          <w:b/>
          <w:bCs/>
          <w:i w:val="0"/>
          <w:iCs w:val="0"/>
          <w:color w:val="auto"/>
          <w:sz w:val="20"/>
          <w:szCs w:val="20"/>
          <w:lang w:val="en-US"/>
        </w:rPr>
        <w:t xml:space="preserve"> </w:t>
      </w:r>
      <w:r>
        <w:rPr>
          <w:b/>
          <w:bCs/>
          <w:i w:val="0"/>
          <w:iCs w:val="0"/>
          <w:color w:val="auto"/>
          <w:sz w:val="20"/>
          <w:szCs w:val="20"/>
          <w:lang w:val="en-US"/>
        </w:rPr>
        <w:tab/>
        <w:t>Angka Melek Huruf (AMH) Penduduk Umur 15 Tahun ke Atas Menurut Kabupaten/Kota dan Jenis Kelamin, Kalimantan Tengah 2021</w:t>
      </w:r>
      <w:bookmarkEnd w:id="62"/>
    </w:p>
    <w:p>
      <w:pPr>
        <w:spacing w:line="360" w:lineRule="auto"/>
        <w:ind w:left="284"/>
        <w:jc w:val="both"/>
        <w:rPr>
          <w:rFonts w:cs="Arial"/>
          <w:sz w:val="20"/>
          <w:szCs w:val="20"/>
        </w:rPr>
      </w:pPr>
      <w:r>
        <w:rPr>
          <w:rFonts w:cs="Arial"/>
          <w:i/>
          <w:sz w:val="20"/>
          <w:szCs w:val="20"/>
        </w:rPr>
        <w:lastRenderedPageBreak/>
        <w:t>Sumber: BPS, Susenas 2021</w:t>
      </w:r>
    </w:p>
    <w:p>
      <w:pPr>
        <w:pStyle w:val="Caption"/>
        <w:rPr>
          <w:rFonts w:cs="Arial"/>
          <w:lang w:val="en-US"/>
        </w:rPr>
      </w:pPr>
    </w:p>
    <w:p>
      <w:pPr>
        <w:spacing w:after="0" w:line="360" w:lineRule="auto"/>
        <w:ind w:left="284" w:firstLine="567"/>
        <w:jc w:val="both"/>
        <w:rPr>
          <w:rFonts w:cs="Arial"/>
          <w:sz w:val="20"/>
          <w:szCs w:val="20"/>
        </w:rPr>
      </w:pPr>
      <w:r>
        <w:rPr>
          <w:rFonts w:cs="Arial"/>
          <w:sz w:val="20"/>
          <w:szCs w:val="20"/>
        </w:rPr>
        <w:t>Sebagaimana tersaji pada Gambar 4, dilihat menurut jenis kelamin, secara umum capaian AMH penduduk laki-laki lebih baik daripada penduduk perempuan, baik di tingkat provinsi maupun di hampir seluruh kabupaten/kota di Kalimantan Tengah. Tiga kabupaten/kota di Kalimantan Tengah yang memiliki capaian nilai AMH perempuan lebih tinggi daripada laki-laki pada tahun 2021 adalah Kotawaringin Barat, Kotawaringin Timur dan Palangka Raya. Secara keseluruhan, Katingan memiliki capaian nilai AMH tertinggi, sedangkan Lamandau menjadi daerah dengan capaian nilai AMH terendah pada tahun 2021.</w:t>
      </w:r>
    </w:p>
    <w:p>
      <w:pPr>
        <w:spacing w:after="0" w:line="360" w:lineRule="auto"/>
        <w:ind w:left="284" w:firstLine="567"/>
        <w:jc w:val="both"/>
        <w:rPr>
          <w:rFonts w:cs="Arial"/>
          <w:sz w:val="20"/>
          <w:szCs w:val="20"/>
        </w:rPr>
      </w:pPr>
    </w:p>
    <w:p>
      <w:pPr>
        <w:pStyle w:val="Heading2"/>
        <w:numPr>
          <w:ilvl w:val="1"/>
          <w:numId w:val="22"/>
        </w:numPr>
        <w:tabs>
          <w:tab w:val="left" w:pos="709"/>
        </w:tabs>
        <w:ind w:left="709" w:hanging="425"/>
        <w:jc w:val="both"/>
        <w:rPr>
          <w:rFonts w:asciiTheme="minorHAnsi" w:hAnsiTheme="minorHAnsi" w:cstheme="minorHAnsi"/>
          <w:sz w:val="20"/>
          <w:szCs w:val="20"/>
        </w:rPr>
      </w:pPr>
      <w:bookmarkStart w:id="63" w:name="_Toc118715986"/>
      <w:r>
        <w:rPr>
          <w:rFonts w:asciiTheme="minorHAnsi" w:hAnsiTheme="minorHAnsi" w:cstheme="minorHAnsi"/>
          <w:sz w:val="20"/>
          <w:szCs w:val="20"/>
          <w:lang w:val="en-US"/>
        </w:rPr>
        <w:t>Penduduk</w:t>
      </w:r>
      <w:r>
        <w:rPr>
          <w:rFonts w:asciiTheme="minorHAnsi" w:hAnsiTheme="minorHAnsi" w:cstheme="minorHAnsi"/>
          <w:sz w:val="20"/>
          <w:szCs w:val="20"/>
        </w:rPr>
        <w:t xml:space="preserve"> Menurut Jenjang Pendidikan Tertinggi yang Ditamatkan</w:t>
      </w:r>
      <w:bookmarkEnd w:id="63"/>
    </w:p>
    <w:p>
      <w:pPr>
        <w:pStyle w:val="BodyTextIndent2"/>
        <w:spacing w:after="0" w:line="360" w:lineRule="auto"/>
        <w:ind w:left="284" w:firstLine="567"/>
        <w:jc w:val="both"/>
        <w:rPr>
          <w:rFonts w:asciiTheme="minorHAnsi" w:hAnsiTheme="minorHAnsi"/>
          <w:sz w:val="20"/>
          <w:szCs w:val="20"/>
          <w:lang w:val="id-ID"/>
        </w:rPr>
      </w:pPr>
      <w:r>
        <w:rPr>
          <w:rFonts w:asciiTheme="minorHAnsi" w:hAnsiTheme="minorHAnsi" w:cs="Arial"/>
          <w:sz w:val="20"/>
          <w:szCs w:val="20"/>
          <w:lang w:val="id-ID"/>
        </w:rPr>
        <w:t>Pendidikan tertinggi yang ditamatkan merupakan salah satu ukuran kualitas sumber daya manusia (SDM). Semakin tinggi tingkat pendidikan masyarakat, akan semakin tinggi pula tingkat kesejahteraannya. Daya saing suatu bangsa tidak dapat dipisahkan dari kualitas SDM-nya yang merupakan modal dasar pembangunan bangsa.</w:t>
      </w:r>
    </w:p>
    <w:p>
      <w:pPr>
        <w:pStyle w:val="BodyText"/>
        <w:spacing w:line="360" w:lineRule="auto"/>
        <w:ind w:left="284" w:firstLine="567"/>
        <w:jc w:val="both"/>
        <w:rPr>
          <w:rFonts w:asciiTheme="minorHAnsi" w:hAnsiTheme="minorHAnsi"/>
        </w:rPr>
      </w:pPr>
      <w:r>
        <w:rPr>
          <w:rFonts w:asciiTheme="minorHAnsi" w:hAnsiTheme="minorHAnsi"/>
        </w:rPr>
        <w:t xml:space="preserve">Tingkat pendidikan sangat berpengaruh terhadap peningkatan kualitas SDM. Dengan tingkat pendidikan yang tinggi maka seseorang akan dapat lebih mudah mengikuti perkembangan ilmu pengetahuan dan menyerap kemajuan teknologi. Sebagai SDM yang berkualitas, maka lulusan pendidikan tinggi diharapkan mampu meningkatkan produktivitasnya sebagai tenaga kerja, sehingga pada gilirannya dapat meningkatkan </w:t>
      </w:r>
      <w:r>
        <w:rPr>
          <w:rFonts w:asciiTheme="minorHAnsi" w:hAnsiTheme="minorHAnsi"/>
        </w:rPr>
        <w:lastRenderedPageBreak/>
        <w:t>kesejahteraan hidupnya. Kemajuan yang dicapai oleh suatu bangsa antara lain sangat ditentukan oleh tingkat pendidikan penduduknya.</w:t>
      </w:r>
    </w:p>
    <w:p>
      <w:pPr>
        <w:pStyle w:val="BodyText"/>
        <w:spacing w:line="360" w:lineRule="auto"/>
        <w:ind w:left="284" w:firstLine="567"/>
        <w:jc w:val="both"/>
        <w:rPr>
          <w:rFonts w:asciiTheme="minorHAnsi" w:hAnsiTheme="minorHAnsi"/>
        </w:rPr>
      </w:pPr>
    </w:p>
    <w:p>
      <w:pPr>
        <w:pStyle w:val="Caption"/>
        <w:ind w:left="1276" w:hanging="992"/>
        <w:jc w:val="both"/>
        <w:rPr>
          <w:b/>
          <w:bCs/>
          <w:i w:val="0"/>
          <w:iCs w:val="0"/>
          <w:color w:val="auto"/>
          <w:sz w:val="20"/>
          <w:szCs w:val="20"/>
          <w:lang w:val="en-US"/>
        </w:rPr>
      </w:pPr>
      <w:bookmarkStart w:id="64" w:name="_Toc117519530"/>
      <w:r>
        <w:rPr>
          <w:b/>
          <w:bCs/>
          <w:i w:val="0"/>
          <w:iCs w:val="0"/>
          <w:color w:val="auto"/>
          <w:sz w:val="20"/>
          <w:szCs w:val="20"/>
        </w:rPr>
        <w:t xml:space="preserve">Tabel 4. </w:t>
      </w:r>
      <w:r>
        <w:rPr>
          <w:b/>
          <w:bCs/>
          <w:i w:val="0"/>
          <w:iCs w:val="0"/>
          <w:color w:val="auto"/>
          <w:sz w:val="20"/>
          <w:szCs w:val="20"/>
        </w:rPr>
        <w:fldChar w:fldCharType="begin"/>
      </w:r>
      <w:r>
        <w:rPr>
          <w:b/>
          <w:bCs/>
          <w:i w:val="0"/>
          <w:iCs w:val="0"/>
          <w:color w:val="auto"/>
          <w:sz w:val="20"/>
          <w:szCs w:val="20"/>
        </w:rPr>
        <w:instrText xml:space="preserve"> SEQ Tabel_4. \* ARABIC </w:instrText>
      </w:r>
      <w:r>
        <w:rPr>
          <w:b/>
          <w:bCs/>
          <w:i w:val="0"/>
          <w:iCs w:val="0"/>
          <w:color w:val="auto"/>
          <w:sz w:val="20"/>
          <w:szCs w:val="20"/>
        </w:rPr>
        <w:fldChar w:fldCharType="separate"/>
      </w:r>
      <w:r>
        <w:rPr>
          <w:b/>
          <w:bCs/>
          <w:i w:val="0"/>
          <w:iCs w:val="0"/>
          <w:noProof/>
          <w:color w:val="auto"/>
          <w:sz w:val="20"/>
          <w:szCs w:val="20"/>
        </w:rPr>
        <w:t>11</w:t>
      </w:r>
      <w:r>
        <w:rPr>
          <w:b/>
          <w:bCs/>
          <w:i w:val="0"/>
          <w:iCs w:val="0"/>
          <w:color w:val="auto"/>
          <w:sz w:val="20"/>
          <w:szCs w:val="20"/>
        </w:rPr>
        <w:fldChar w:fldCharType="end"/>
      </w:r>
      <w:r>
        <w:rPr>
          <w:b/>
          <w:bCs/>
          <w:i w:val="0"/>
          <w:iCs w:val="0"/>
          <w:color w:val="auto"/>
          <w:sz w:val="20"/>
          <w:szCs w:val="20"/>
        </w:rPr>
        <w:tab/>
      </w:r>
      <w:r>
        <w:rPr>
          <w:rFonts w:cs="Arial"/>
          <w:b/>
          <w:bCs/>
          <w:i w:val="0"/>
          <w:iCs w:val="0"/>
          <w:color w:val="auto"/>
          <w:sz w:val="20"/>
          <w:szCs w:val="20"/>
        </w:rPr>
        <w:t>Persentase Penduduk Umur 15 Tahun ke Atas Menurut Jenjang Pendidikan Tertinggi yang Ditamatkan dan Jenis Kelamin, 2014-2019-2021</w:t>
      </w:r>
      <w:bookmarkEnd w:id="64"/>
    </w:p>
    <w:tbl>
      <w:tblPr>
        <w:tblW w:w="4745" w:type="pct"/>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30" w:type="dxa"/>
          <w:right w:w="30" w:type="dxa"/>
        </w:tblCellMar>
        <w:tblLook w:val="04A0" w:firstRow="1" w:lastRow="0" w:firstColumn="1" w:lastColumn="0" w:noHBand="0" w:noVBand="1"/>
      </w:tblPr>
      <w:tblGrid>
        <w:gridCol w:w="1828"/>
        <w:gridCol w:w="736"/>
        <w:gridCol w:w="737"/>
        <w:gridCol w:w="738"/>
        <w:gridCol w:w="736"/>
        <w:gridCol w:w="737"/>
        <w:gridCol w:w="732"/>
      </w:tblGrid>
      <w:tr>
        <w:trPr>
          <w:cantSplit/>
          <w:trHeight w:val="397"/>
        </w:trPr>
        <w:tc>
          <w:tcPr>
            <w:tcW w:w="1465" w:type="pct"/>
            <w:vMerge w:val="restart"/>
            <w:shd w:val="clear" w:color="auto" w:fill="38003D"/>
            <w:vAlign w:val="center"/>
            <w:hideMark/>
          </w:tcPr>
          <w:p>
            <w:pPr>
              <w:spacing w:after="0"/>
              <w:jc w:val="center"/>
              <w:rPr>
                <w:b/>
                <w:bCs/>
                <w:snapToGrid w:val="0"/>
                <w:sz w:val="18"/>
                <w:szCs w:val="18"/>
              </w:rPr>
            </w:pPr>
            <w:r>
              <w:rPr>
                <w:b/>
                <w:bCs/>
                <w:snapToGrid w:val="0"/>
                <w:sz w:val="18"/>
                <w:szCs w:val="18"/>
              </w:rPr>
              <w:t>Jenjang Pendidikan Tertinggi yang Ditamatkan</w:t>
            </w:r>
          </w:p>
        </w:tc>
        <w:tc>
          <w:tcPr>
            <w:tcW w:w="1769" w:type="pct"/>
            <w:gridSpan w:val="3"/>
            <w:shd w:val="clear" w:color="auto" w:fill="38003D"/>
            <w:vAlign w:val="center"/>
            <w:hideMark/>
          </w:tcPr>
          <w:p>
            <w:pPr>
              <w:spacing w:after="0"/>
              <w:jc w:val="center"/>
              <w:rPr>
                <w:b/>
                <w:bCs/>
                <w:snapToGrid w:val="0"/>
                <w:sz w:val="18"/>
                <w:szCs w:val="18"/>
              </w:rPr>
            </w:pPr>
            <w:r>
              <w:rPr>
                <w:b/>
                <w:bCs/>
                <w:snapToGrid w:val="0"/>
                <w:sz w:val="18"/>
                <w:szCs w:val="18"/>
              </w:rPr>
              <w:t>Laki-laki</w:t>
            </w:r>
          </w:p>
        </w:tc>
        <w:tc>
          <w:tcPr>
            <w:tcW w:w="1766" w:type="pct"/>
            <w:gridSpan w:val="3"/>
            <w:shd w:val="clear" w:color="auto" w:fill="38003D"/>
            <w:vAlign w:val="center"/>
            <w:hideMark/>
          </w:tcPr>
          <w:p>
            <w:pPr>
              <w:spacing w:after="0"/>
              <w:jc w:val="center"/>
              <w:rPr>
                <w:b/>
                <w:bCs/>
                <w:snapToGrid w:val="0"/>
                <w:sz w:val="18"/>
                <w:szCs w:val="18"/>
              </w:rPr>
            </w:pPr>
            <w:r>
              <w:rPr>
                <w:b/>
                <w:bCs/>
                <w:snapToGrid w:val="0"/>
                <w:sz w:val="18"/>
                <w:szCs w:val="18"/>
              </w:rPr>
              <w:t>Perempuan</w:t>
            </w:r>
          </w:p>
        </w:tc>
      </w:tr>
      <w:tr>
        <w:trPr>
          <w:cantSplit/>
          <w:trHeight w:val="397"/>
        </w:trPr>
        <w:tc>
          <w:tcPr>
            <w:tcW w:w="1465" w:type="pct"/>
            <w:vMerge/>
            <w:shd w:val="clear" w:color="auto" w:fill="38003D"/>
            <w:vAlign w:val="center"/>
            <w:hideMark/>
          </w:tcPr>
          <w:p>
            <w:pPr>
              <w:spacing w:after="0"/>
              <w:rPr>
                <w:b/>
                <w:bCs/>
                <w:snapToGrid w:val="0"/>
                <w:sz w:val="18"/>
                <w:szCs w:val="18"/>
              </w:rPr>
            </w:pPr>
          </w:p>
        </w:tc>
        <w:tc>
          <w:tcPr>
            <w:tcW w:w="589" w:type="pct"/>
            <w:shd w:val="clear" w:color="auto" w:fill="38003D"/>
            <w:vAlign w:val="center"/>
            <w:hideMark/>
          </w:tcPr>
          <w:p>
            <w:pPr>
              <w:spacing w:after="0"/>
              <w:jc w:val="center"/>
              <w:rPr>
                <w:b/>
                <w:bCs/>
                <w:snapToGrid w:val="0"/>
                <w:sz w:val="18"/>
                <w:szCs w:val="18"/>
              </w:rPr>
            </w:pPr>
            <w:r>
              <w:rPr>
                <w:b/>
                <w:bCs/>
                <w:snapToGrid w:val="0"/>
                <w:color w:val="FFFFFF" w:themeColor="background1"/>
                <w:sz w:val="18"/>
                <w:szCs w:val="18"/>
              </w:rPr>
              <w:t>2019</w:t>
            </w:r>
          </w:p>
        </w:tc>
        <w:tc>
          <w:tcPr>
            <w:tcW w:w="590" w:type="pct"/>
            <w:shd w:val="clear" w:color="auto" w:fill="38003D"/>
            <w:vAlign w:val="center"/>
            <w:hideMark/>
          </w:tcPr>
          <w:p>
            <w:pPr>
              <w:spacing w:after="0"/>
              <w:jc w:val="center"/>
              <w:rPr>
                <w:b/>
                <w:bCs/>
                <w:snapToGrid w:val="0"/>
                <w:sz w:val="18"/>
                <w:szCs w:val="18"/>
              </w:rPr>
            </w:pPr>
            <w:r>
              <w:rPr>
                <w:b/>
                <w:bCs/>
                <w:snapToGrid w:val="0"/>
                <w:color w:val="FFFFFF" w:themeColor="background1"/>
                <w:sz w:val="18"/>
                <w:szCs w:val="18"/>
              </w:rPr>
              <w:t>2020</w:t>
            </w:r>
          </w:p>
        </w:tc>
        <w:tc>
          <w:tcPr>
            <w:tcW w:w="591" w:type="pct"/>
            <w:shd w:val="clear" w:color="auto" w:fill="38003D"/>
            <w:vAlign w:val="center"/>
            <w:hideMark/>
          </w:tcPr>
          <w:p>
            <w:pPr>
              <w:spacing w:after="0"/>
              <w:jc w:val="center"/>
              <w:rPr>
                <w:b/>
                <w:bCs/>
                <w:snapToGrid w:val="0"/>
                <w:sz w:val="18"/>
                <w:szCs w:val="18"/>
              </w:rPr>
            </w:pPr>
            <w:r>
              <w:rPr>
                <w:b/>
                <w:bCs/>
                <w:snapToGrid w:val="0"/>
                <w:color w:val="FFFFFF" w:themeColor="background1"/>
                <w:sz w:val="18"/>
                <w:szCs w:val="18"/>
              </w:rPr>
              <w:t>2021</w:t>
            </w:r>
          </w:p>
        </w:tc>
        <w:tc>
          <w:tcPr>
            <w:tcW w:w="589" w:type="pct"/>
            <w:shd w:val="clear" w:color="auto" w:fill="38003D"/>
            <w:vAlign w:val="center"/>
            <w:hideMark/>
          </w:tcPr>
          <w:p>
            <w:pPr>
              <w:spacing w:after="0"/>
              <w:jc w:val="center"/>
              <w:rPr>
                <w:b/>
                <w:bCs/>
                <w:snapToGrid w:val="0"/>
                <w:sz w:val="18"/>
                <w:szCs w:val="18"/>
              </w:rPr>
            </w:pPr>
            <w:r>
              <w:rPr>
                <w:b/>
                <w:bCs/>
                <w:snapToGrid w:val="0"/>
                <w:color w:val="FFFFFF" w:themeColor="background1"/>
                <w:sz w:val="18"/>
                <w:szCs w:val="18"/>
              </w:rPr>
              <w:t>2019</w:t>
            </w:r>
          </w:p>
        </w:tc>
        <w:tc>
          <w:tcPr>
            <w:tcW w:w="590" w:type="pct"/>
            <w:shd w:val="clear" w:color="auto" w:fill="38003D"/>
            <w:vAlign w:val="center"/>
            <w:hideMark/>
          </w:tcPr>
          <w:p>
            <w:pPr>
              <w:spacing w:after="0"/>
              <w:jc w:val="center"/>
              <w:rPr>
                <w:b/>
                <w:bCs/>
                <w:snapToGrid w:val="0"/>
                <w:sz w:val="18"/>
                <w:szCs w:val="18"/>
              </w:rPr>
            </w:pPr>
            <w:r>
              <w:rPr>
                <w:b/>
                <w:bCs/>
                <w:snapToGrid w:val="0"/>
                <w:color w:val="FFFFFF" w:themeColor="background1"/>
                <w:sz w:val="18"/>
                <w:szCs w:val="18"/>
              </w:rPr>
              <w:t>2020</w:t>
            </w:r>
          </w:p>
        </w:tc>
        <w:tc>
          <w:tcPr>
            <w:tcW w:w="587" w:type="pct"/>
            <w:shd w:val="clear" w:color="auto" w:fill="38003D"/>
            <w:vAlign w:val="center"/>
            <w:hideMark/>
          </w:tcPr>
          <w:p>
            <w:pPr>
              <w:spacing w:after="0"/>
              <w:jc w:val="center"/>
              <w:rPr>
                <w:b/>
                <w:bCs/>
                <w:snapToGrid w:val="0"/>
                <w:sz w:val="18"/>
                <w:szCs w:val="18"/>
              </w:rPr>
            </w:pPr>
            <w:r>
              <w:rPr>
                <w:b/>
                <w:bCs/>
                <w:snapToGrid w:val="0"/>
                <w:color w:val="FFFFFF" w:themeColor="background1"/>
                <w:sz w:val="18"/>
                <w:szCs w:val="18"/>
              </w:rPr>
              <w:t>2021</w:t>
            </w:r>
          </w:p>
        </w:tc>
      </w:tr>
      <w:tr>
        <w:trPr>
          <w:cantSplit/>
          <w:trHeight w:val="227"/>
        </w:trPr>
        <w:tc>
          <w:tcPr>
            <w:tcW w:w="1465" w:type="pct"/>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(1)</w:t>
            </w:r>
          </w:p>
        </w:tc>
        <w:tc>
          <w:tcPr>
            <w:tcW w:w="589" w:type="pct"/>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(2)</w:t>
            </w:r>
          </w:p>
        </w:tc>
        <w:tc>
          <w:tcPr>
            <w:tcW w:w="590" w:type="pct"/>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(3)</w:t>
            </w:r>
          </w:p>
        </w:tc>
        <w:tc>
          <w:tcPr>
            <w:tcW w:w="591" w:type="pct"/>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(4)</w:t>
            </w:r>
          </w:p>
        </w:tc>
        <w:tc>
          <w:tcPr>
            <w:tcW w:w="589" w:type="pct"/>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(5)</w:t>
            </w:r>
          </w:p>
        </w:tc>
        <w:tc>
          <w:tcPr>
            <w:tcW w:w="590" w:type="pct"/>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(6)</w:t>
            </w:r>
          </w:p>
        </w:tc>
        <w:tc>
          <w:tcPr>
            <w:tcW w:w="587" w:type="pct"/>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(7)</w:t>
            </w:r>
          </w:p>
        </w:tc>
      </w:tr>
      <w:tr>
        <w:trPr>
          <w:cantSplit/>
          <w:trHeight w:val="312"/>
        </w:trPr>
        <w:tc>
          <w:tcPr>
            <w:tcW w:w="146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ind w:left="112" w:right="5"/>
              <w:rPr>
                <w:sz w:val="18"/>
                <w:szCs w:val="18"/>
              </w:rPr>
            </w:pPr>
            <w:r>
              <w:rPr>
                <w:sz w:val="18"/>
                <w:szCs w:val="18"/>
              </w:rPr>
              <w:t>SD ke bawah</w:t>
            </w:r>
          </w:p>
        </w:tc>
        <w:tc>
          <w:tcPr>
            <w:tcW w:w="5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39,71</w:t>
            </w:r>
          </w:p>
        </w:tc>
        <w:tc>
          <w:tcPr>
            <w:tcW w:w="59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38,65</w:t>
            </w:r>
          </w:p>
        </w:tc>
        <w:tc>
          <w:tcPr>
            <w:tcW w:w="59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38,81</w:t>
            </w:r>
          </w:p>
        </w:tc>
        <w:tc>
          <w:tcPr>
            <w:tcW w:w="5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44,86</w:t>
            </w:r>
          </w:p>
        </w:tc>
        <w:tc>
          <w:tcPr>
            <w:tcW w:w="59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43,80</w:t>
            </w:r>
          </w:p>
        </w:tc>
        <w:tc>
          <w:tcPr>
            <w:tcW w:w="58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42,68</w:t>
            </w:r>
          </w:p>
        </w:tc>
      </w:tr>
      <w:tr>
        <w:trPr>
          <w:cantSplit/>
          <w:trHeight w:val="312"/>
        </w:trPr>
        <w:tc>
          <w:tcPr>
            <w:tcW w:w="146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left="112" w:right="5"/>
              <w:rPr>
                <w:sz w:val="18"/>
                <w:szCs w:val="18"/>
              </w:rPr>
            </w:pPr>
            <w:r>
              <w:rPr>
                <w:sz w:val="18"/>
                <w:szCs w:val="18"/>
              </w:rPr>
              <w:t>SMP</w:t>
            </w:r>
          </w:p>
        </w:tc>
        <w:tc>
          <w:tcPr>
            <w:tcW w:w="58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23,80</w:t>
            </w:r>
          </w:p>
        </w:tc>
        <w:tc>
          <w:tcPr>
            <w:tcW w:w="59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26,85</w:t>
            </w:r>
          </w:p>
        </w:tc>
        <w:tc>
          <w:tcPr>
            <w:tcW w:w="591"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26,22</w:t>
            </w:r>
          </w:p>
        </w:tc>
        <w:tc>
          <w:tcPr>
            <w:tcW w:w="58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23,68</w:t>
            </w:r>
          </w:p>
        </w:tc>
        <w:tc>
          <w:tcPr>
            <w:tcW w:w="59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24,49</w:t>
            </w:r>
          </w:p>
        </w:tc>
        <w:tc>
          <w:tcPr>
            <w:tcW w:w="58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25,52</w:t>
            </w:r>
          </w:p>
        </w:tc>
      </w:tr>
      <w:tr>
        <w:trPr>
          <w:cantSplit/>
          <w:trHeight w:val="312"/>
        </w:trPr>
        <w:tc>
          <w:tcPr>
            <w:tcW w:w="146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ind w:left="112" w:right="5"/>
              <w:rPr>
                <w:sz w:val="18"/>
                <w:szCs w:val="18"/>
              </w:rPr>
            </w:pPr>
            <w:r>
              <w:rPr>
                <w:sz w:val="18"/>
                <w:szCs w:val="18"/>
              </w:rPr>
              <w:t>SMA/SMK</w:t>
            </w:r>
          </w:p>
        </w:tc>
        <w:tc>
          <w:tcPr>
            <w:tcW w:w="5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27,90</w:t>
            </w:r>
          </w:p>
        </w:tc>
        <w:tc>
          <w:tcPr>
            <w:tcW w:w="59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24,91</w:t>
            </w:r>
          </w:p>
        </w:tc>
        <w:tc>
          <w:tcPr>
            <w:tcW w:w="59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24,88</w:t>
            </w:r>
          </w:p>
        </w:tc>
        <w:tc>
          <w:tcPr>
            <w:tcW w:w="5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21,31</w:t>
            </w:r>
          </w:p>
        </w:tc>
        <w:tc>
          <w:tcPr>
            <w:tcW w:w="59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21,12</w:t>
            </w:r>
          </w:p>
        </w:tc>
        <w:tc>
          <w:tcPr>
            <w:tcW w:w="58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20,86</w:t>
            </w:r>
          </w:p>
        </w:tc>
      </w:tr>
      <w:tr>
        <w:trPr>
          <w:cantSplit/>
          <w:trHeight w:val="312"/>
        </w:trPr>
        <w:tc>
          <w:tcPr>
            <w:tcW w:w="146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left="112" w:right="5"/>
              <w:rPr>
                <w:sz w:val="18"/>
                <w:szCs w:val="18"/>
              </w:rPr>
            </w:pPr>
            <w:r>
              <w:rPr>
                <w:sz w:val="18"/>
                <w:szCs w:val="18"/>
              </w:rPr>
              <w:t>D1/D2/D3</w:t>
            </w:r>
          </w:p>
        </w:tc>
        <w:tc>
          <w:tcPr>
            <w:tcW w:w="58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1,78</w:t>
            </w:r>
          </w:p>
        </w:tc>
        <w:tc>
          <w:tcPr>
            <w:tcW w:w="59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1,39</w:t>
            </w:r>
          </w:p>
        </w:tc>
        <w:tc>
          <w:tcPr>
            <w:tcW w:w="591"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1,36</w:t>
            </w:r>
          </w:p>
        </w:tc>
        <w:tc>
          <w:tcPr>
            <w:tcW w:w="58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2,52</w:t>
            </w:r>
          </w:p>
        </w:tc>
        <w:tc>
          <w:tcPr>
            <w:tcW w:w="59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2,52</w:t>
            </w:r>
          </w:p>
        </w:tc>
        <w:tc>
          <w:tcPr>
            <w:tcW w:w="58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2,48</w:t>
            </w:r>
          </w:p>
        </w:tc>
      </w:tr>
      <w:tr>
        <w:trPr>
          <w:cantSplit/>
          <w:trHeight w:val="312"/>
        </w:trPr>
        <w:tc>
          <w:tcPr>
            <w:tcW w:w="146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ind w:left="112" w:right="5"/>
              <w:rPr>
                <w:sz w:val="18"/>
                <w:szCs w:val="18"/>
              </w:rPr>
            </w:pPr>
            <w:r>
              <w:rPr>
                <w:sz w:val="18"/>
                <w:szCs w:val="18"/>
              </w:rPr>
              <w:t>D4/S1/Profesi/S2/S3</w:t>
            </w:r>
          </w:p>
        </w:tc>
        <w:tc>
          <w:tcPr>
            <w:tcW w:w="5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6,81</w:t>
            </w:r>
          </w:p>
        </w:tc>
        <w:tc>
          <w:tcPr>
            <w:tcW w:w="59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8,19</w:t>
            </w:r>
          </w:p>
        </w:tc>
        <w:tc>
          <w:tcPr>
            <w:tcW w:w="59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8,73</w:t>
            </w:r>
          </w:p>
        </w:tc>
        <w:tc>
          <w:tcPr>
            <w:tcW w:w="5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7,64</w:t>
            </w:r>
          </w:p>
        </w:tc>
        <w:tc>
          <w:tcPr>
            <w:tcW w:w="59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8,07</w:t>
            </w:r>
          </w:p>
        </w:tc>
        <w:tc>
          <w:tcPr>
            <w:tcW w:w="58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8,46</w:t>
            </w:r>
          </w:p>
        </w:tc>
      </w:tr>
    </w:tbl>
    <w:p>
      <w:pPr>
        <w:pStyle w:val="BodyText"/>
        <w:spacing w:line="240" w:lineRule="auto"/>
        <w:ind w:left="284"/>
        <w:rPr>
          <w:rFonts w:asciiTheme="minorHAnsi" w:hAnsiTheme="minorHAnsi"/>
          <w:bCs/>
          <w:i/>
          <w:sz w:val="18"/>
          <w:szCs w:val="18"/>
        </w:rPr>
      </w:pPr>
      <w:r>
        <w:rPr>
          <w:rFonts w:asciiTheme="minorHAnsi" w:hAnsiTheme="minorHAnsi"/>
          <w:bCs/>
          <w:i/>
          <w:sz w:val="18"/>
          <w:szCs w:val="18"/>
        </w:rPr>
        <w:t>Sumber: BPS, Susenas 2019-2021</w:t>
      </w:r>
    </w:p>
    <w:p>
      <w:pPr>
        <w:pStyle w:val="BodyTextIndent3"/>
        <w:spacing w:before="240" w:after="0" w:line="360" w:lineRule="auto"/>
        <w:ind w:left="284" w:firstLine="567"/>
        <w:jc w:val="both"/>
        <w:rPr>
          <w:rFonts w:asciiTheme="minorHAnsi" w:hAnsiTheme="minorHAnsi" w:cs="Calibri"/>
          <w:sz w:val="20"/>
          <w:szCs w:val="20"/>
          <w:lang w:val="id-ID"/>
        </w:rPr>
      </w:pPr>
      <w:r>
        <w:rPr>
          <w:rFonts w:asciiTheme="minorHAnsi" w:hAnsiTheme="minorHAnsi" w:cs="Calibri"/>
          <w:sz w:val="20"/>
          <w:szCs w:val="20"/>
          <w:lang w:val="id-ID"/>
        </w:rPr>
        <w:t>Dibandingkan tahun 20</w:t>
      </w:r>
      <w:r>
        <w:rPr>
          <w:rFonts w:asciiTheme="minorHAnsi" w:hAnsiTheme="minorHAnsi" w:cs="Calibri"/>
          <w:sz w:val="20"/>
          <w:szCs w:val="20"/>
        </w:rPr>
        <w:t>19</w:t>
      </w:r>
      <w:r>
        <w:rPr>
          <w:rFonts w:asciiTheme="minorHAnsi" w:hAnsiTheme="minorHAnsi" w:cs="Calibri"/>
          <w:sz w:val="20"/>
          <w:szCs w:val="20"/>
          <w:lang w:val="id-ID"/>
        </w:rPr>
        <w:t>, persentase penduduk usia 15 tahun di Kalimantan Tengah yang tamat pendidikan tinggi pada tahun 20</w:t>
      </w:r>
      <w:r>
        <w:rPr>
          <w:rFonts w:asciiTheme="minorHAnsi" w:hAnsiTheme="minorHAnsi" w:cs="Calibri"/>
          <w:sz w:val="20"/>
          <w:szCs w:val="20"/>
        </w:rPr>
        <w:t>21</w:t>
      </w:r>
      <w:r>
        <w:rPr>
          <w:rFonts w:asciiTheme="minorHAnsi" w:hAnsiTheme="minorHAnsi" w:cs="Calibri"/>
          <w:sz w:val="20"/>
          <w:szCs w:val="20"/>
          <w:lang w:val="id-ID"/>
        </w:rPr>
        <w:t xml:space="preserve"> semakin mengalami peningkatan, baik laki-laki maupun perempuan. Apabila diperhatikan menurut jenis kelamin, penduduk </w:t>
      </w:r>
      <w:r>
        <w:rPr>
          <w:rFonts w:asciiTheme="minorHAnsi" w:hAnsiTheme="minorHAnsi" w:cs="Calibri"/>
          <w:sz w:val="20"/>
          <w:szCs w:val="20"/>
        </w:rPr>
        <w:t>perempuan yang menamatkan pendidikan tinggi</w:t>
      </w:r>
      <w:r>
        <w:rPr>
          <w:rFonts w:asciiTheme="minorHAnsi" w:hAnsiTheme="minorHAnsi" w:cs="Calibri"/>
          <w:sz w:val="20"/>
          <w:szCs w:val="20"/>
          <w:lang w:val="id-ID"/>
        </w:rPr>
        <w:t xml:space="preserve"> </w:t>
      </w:r>
      <w:r>
        <w:rPr>
          <w:rFonts w:asciiTheme="minorHAnsi" w:hAnsiTheme="minorHAnsi" w:cs="Calibri"/>
          <w:sz w:val="20"/>
          <w:szCs w:val="20"/>
        </w:rPr>
        <w:t xml:space="preserve">(Diploma dan Sarjana) </w:t>
      </w:r>
      <w:r>
        <w:rPr>
          <w:rFonts w:asciiTheme="minorHAnsi" w:hAnsiTheme="minorHAnsi" w:cs="Calibri"/>
          <w:sz w:val="20"/>
          <w:szCs w:val="20"/>
          <w:lang w:val="id-ID"/>
        </w:rPr>
        <w:t xml:space="preserve">lebih banyak daripada penduduk </w:t>
      </w:r>
      <w:r>
        <w:rPr>
          <w:rFonts w:asciiTheme="minorHAnsi" w:hAnsiTheme="minorHAnsi" w:cs="Calibri"/>
          <w:sz w:val="20"/>
          <w:szCs w:val="20"/>
        </w:rPr>
        <w:t>laki-laki.</w:t>
      </w:r>
    </w:p>
    <w:p>
      <w:pPr>
        <w:pStyle w:val="BodyTextIndent3"/>
        <w:spacing w:after="0" w:line="360" w:lineRule="auto"/>
        <w:ind w:left="284" w:firstLine="567"/>
        <w:jc w:val="both"/>
        <w:rPr>
          <w:rFonts w:asciiTheme="minorHAnsi" w:hAnsiTheme="minorHAnsi" w:cs="Calibri"/>
          <w:sz w:val="20"/>
          <w:szCs w:val="20"/>
          <w:lang w:val="id-ID"/>
        </w:rPr>
      </w:pPr>
      <w:r>
        <w:rPr>
          <w:rFonts w:asciiTheme="minorHAnsi" w:hAnsiTheme="minorHAnsi" w:cs="Calibri"/>
          <w:sz w:val="20"/>
          <w:szCs w:val="20"/>
        </w:rPr>
        <w:t>Kendati demikian, h</w:t>
      </w:r>
      <w:r>
        <w:rPr>
          <w:rFonts w:asciiTheme="minorHAnsi" w:hAnsiTheme="minorHAnsi" w:cs="Calibri"/>
          <w:sz w:val="20"/>
          <w:szCs w:val="20"/>
          <w:lang w:val="id-ID"/>
        </w:rPr>
        <w:t xml:space="preserve">al yang </w:t>
      </w:r>
      <w:r>
        <w:rPr>
          <w:rFonts w:asciiTheme="minorHAnsi" w:hAnsiTheme="minorHAnsi" w:cs="Calibri"/>
          <w:sz w:val="20"/>
          <w:szCs w:val="20"/>
        </w:rPr>
        <w:t xml:space="preserve">sangat </w:t>
      </w:r>
      <w:r>
        <w:rPr>
          <w:rFonts w:asciiTheme="minorHAnsi" w:hAnsiTheme="minorHAnsi" w:cs="Calibri"/>
          <w:sz w:val="20"/>
          <w:szCs w:val="20"/>
          <w:lang w:val="id-ID"/>
        </w:rPr>
        <w:t xml:space="preserve">perlu diperhatikan oleh pemerintah dan segenap </w:t>
      </w:r>
      <w:r>
        <w:rPr>
          <w:rFonts w:asciiTheme="minorHAnsi" w:hAnsiTheme="minorHAnsi" w:cs="Calibri"/>
          <w:i/>
          <w:sz w:val="20"/>
          <w:szCs w:val="20"/>
          <w:lang w:val="id-ID"/>
        </w:rPr>
        <w:t>stakeholders</w:t>
      </w:r>
      <w:r>
        <w:rPr>
          <w:rFonts w:asciiTheme="minorHAnsi" w:hAnsiTheme="minorHAnsi" w:cs="Calibri"/>
          <w:sz w:val="20"/>
          <w:szCs w:val="20"/>
          <w:lang w:val="id-ID"/>
        </w:rPr>
        <w:t xml:space="preserve"> pelaku pendidikan di Kalimantan Tengah adalah lebih dari separuh penduduk usia 15 tahun ke atas hanya menamatkan pendidikan dasar</w:t>
      </w:r>
      <w:r>
        <w:rPr>
          <w:rFonts w:asciiTheme="minorHAnsi" w:hAnsiTheme="minorHAnsi" w:cs="Calibri"/>
          <w:sz w:val="20"/>
          <w:szCs w:val="20"/>
        </w:rPr>
        <w:t xml:space="preserve"> ke bawah</w:t>
      </w:r>
      <w:r>
        <w:rPr>
          <w:rFonts w:asciiTheme="minorHAnsi" w:hAnsiTheme="minorHAnsi" w:cs="Calibri"/>
          <w:sz w:val="20"/>
          <w:szCs w:val="20"/>
          <w:lang w:val="id-ID"/>
        </w:rPr>
        <w:t xml:space="preserve"> (</w:t>
      </w:r>
      <w:r>
        <w:rPr>
          <w:rFonts w:asciiTheme="minorHAnsi" w:hAnsiTheme="minorHAnsi" w:cs="Calibri"/>
          <w:sz w:val="20"/>
          <w:szCs w:val="20"/>
        </w:rPr>
        <w:t>S</w:t>
      </w:r>
      <w:r>
        <w:rPr>
          <w:rFonts w:asciiTheme="minorHAnsi" w:hAnsiTheme="minorHAnsi" w:cs="Calibri"/>
          <w:sz w:val="20"/>
          <w:szCs w:val="20"/>
          <w:lang w:val="id-ID"/>
        </w:rPr>
        <w:t>D</w:t>
      </w:r>
      <w:r>
        <w:rPr>
          <w:rFonts w:asciiTheme="minorHAnsi" w:hAnsiTheme="minorHAnsi" w:cs="Calibri"/>
          <w:sz w:val="20"/>
          <w:szCs w:val="20"/>
        </w:rPr>
        <w:t xml:space="preserve"> ke bawah dan </w:t>
      </w:r>
      <w:r>
        <w:rPr>
          <w:rFonts w:asciiTheme="minorHAnsi" w:hAnsiTheme="minorHAnsi" w:cs="Calibri"/>
          <w:sz w:val="20"/>
          <w:szCs w:val="20"/>
          <w:lang w:val="id-ID"/>
        </w:rPr>
        <w:t xml:space="preserve">SMP). </w:t>
      </w:r>
      <w:r>
        <w:rPr>
          <w:rFonts w:asciiTheme="minorHAnsi" w:hAnsiTheme="minorHAnsi" w:cs="Calibri"/>
          <w:sz w:val="20"/>
          <w:szCs w:val="20"/>
          <w:lang w:val="id-ID"/>
        </w:rPr>
        <w:lastRenderedPageBreak/>
        <w:t>Masyarakat yang menamatkan pendidikan tinggi (Diploma dan Sarjana) masih sangat sedikit. Kondisi ini memerlukan perhatian serius dan kontinyu dari berbagai kalangan, agar penduduk Kalimantan Tengah semakin banyak yang menamatkan diri dari pendidikan tinggi. Tentu saja hal ini bertujuan untuk semakin meningkatkan kualitas hidup masyarakat Kalimantan Tengah, yang kemudian berujung pada meningkatnya kesejahteraan masyarakat.</w:t>
      </w:r>
    </w:p>
    <w:p>
      <w:pPr>
        <w:pStyle w:val="BodyTextIndent3"/>
        <w:spacing w:after="0" w:line="360" w:lineRule="auto"/>
        <w:ind w:left="284" w:firstLine="567"/>
        <w:jc w:val="both"/>
        <w:rPr>
          <w:rFonts w:asciiTheme="minorHAnsi" w:hAnsiTheme="minorHAnsi" w:cs="Calibri"/>
          <w:sz w:val="20"/>
          <w:szCs w:val="20"/>
          <w:lang w:val="id-ID"/>
        </w:rPr>
      </w:pPr>
      <w:r>
        <w:rPr>
          <w:rFonts w:asciiTheme="minorHAnsi" w:hAnsiTheme="minorHAnsi" w:cs="Calibri"/>
          <w:sz w:val="20"/>
          <w:szCs w:val="20"/>
          <w:lang w:val="id-ID"/>
        </w:rPr>
        <w:t>Pada Tabel 4.12 terlihat bahwa ada kesenjangan yang cukup besar antara Kota Palangka Raya dengan kabupaten-kabupaten lain di Kalimantan Tengah, dalam hal persentase penduduk yang menamatkan pendidikan tinggi. Tentu saja hal ini dikarenakan fasilitas sarana pendidikan tinggi yang memadai dan banyak terdapat di Palangka Raya. Meskipun demikian, ke depannya, pemerataan kualitas penduduk, yang salah satunya ditunjukkan dari banyaknya penduduk yang berpendidikan tinggi, harus terus digalakkan ke semua kabupaten di Kalimantan Tengah</w:t>
      </w:r>
      <w:r>
        <w:rPr>
          <w:rFonts w:asciiTheme="minorHAnsi" w:hAnsiTheme="minorHAnsi" w:cs="Calibri"/>
          <w:sz w:val="20"/>
          <w:szCs w:val="20"/>
        </w:rPr>
        <w:t xml:space="preserve"> agar</w:t>
      </w:r>
      <w:r>
        <w:rPr>
          <w:rFonts w:asciiTheme="minorHAnsi" w:hAnsiTheme="minorHAnsi" w:cs="Calibri"/>
          <w:sz w:val="20"/>
          <w:szCs w:val="20"/>
          <w:lang w:val="id-ID"/>
        </w:rPr>
        <w:t xml:space="preserve"> ketimpangan kualitas </w:t>
      </w:r>
      <w:r>
        <w:rPr>
          <w:rFonts w:asciiTheme="minorHAnsi" w:hAnsiTheme="minorHAnsi" w:cs="Calibri"/>
          <w:sz w:val="20"/>
          <w:szCs w:val="20"/>
        </w:rPr>
        <w:t xml:space="preserve">SDM </w:t>
      </w:r>
      <w:r>
        <w:rPr>
          <w:rFonts w:asciiTheme="minorHAnsi" w:hAnsiTheme="minorHAnsi" w:cs="Calibri"/>
          <w:sz w:val="20"/>
          <w:szCs w:val="20"/>
          <w:lang w:val="id-ID"/>
        </w:rPr>
        <w:t xml:space="preserve">di Palangka Raya dengan kabupaten-kabupaten lainnya tidak terlalu besar. Pemerintah daerah di 13 kabupaten tersebut harus terus membuat berbagai terobosan kebijakan yang dapat memacu semangat masyarakatnya agar semakin banyak yang termotivasi untuk menempuh pendidikan tinggi. Dengan </w:t>
      </w:r>
      <w:r>
        <w:rPr>
          <w:rFonts w:asciiTheme="minorHAnsi" w:hAnsiTheme="minorHAnsi" w:cs="Calibri"/>
          <w:sz w:val="20"/>
          <w:szCs w:val="20"/>
        </w:rPr>
        <w:t>demikian</w:t>
      </w:r>
      <w:r>
        <w:rPr>
          <w:rFonts w:asciiTheme="minorHAnsi" w:hAnsiTheme="minorHAnsi" w:cs="Calibri"/>
          <w:sz w:val="20"/>
          <w:szCs w:val="20"/>
          <w:lang w:val="id-ID"/>
        </w:rPr>
        <w:t xml:space="preserve"> diharapkan kesenjangan kemajuan pembangunan dan kesejahteraan masyarakat di Palangka Raya dan di kabupaten-kabupaten lain dapat semakin dikikis.</w:t>
      </w:r>
    </w:p>
    <w:p>
      <w:pPr>
        <w:rPr>
          <w:lang w:val="en-US"/>
        </w:rPr>
      </w:pPr>
    </w:p>
    <w:p>
      <w:pPr>
        <w:rPr>
          <w:lang w:val="en-US"/>
        </w:rPr>
      </w:pPr>
    </w:p>
    <w:p>
      <w:pPr>
        <w:rPr>
          <w:lang w:val="en-US"/>
        </w:rPr>
      </w:pPr>
    </w:p>
    <w:p>
      <w:pPr>
        <w:rPr>
          <w:lang w:val="en-US"/>
        </w:rPr>
      </w:pPr>
    </w:p>
    <w:p>
      <w:pPr>
        <w:pStyle w:val="Caption"/>
        <w:ind w:left="1276" w:hanging="992"/>
        <w:jc w:val="both"/>
        <w:rPr>
          <w:rFonts w:cs="Arial"/>
          <w:b/>
          <w:bCs/>
          <w:i w:val="0"/>
          <w:iCs w:val="0"/>
          <w:color w:val="auto"/>
          <w:sz w:val="20"/>
          <w:szCs w:val="20"/>
        </w:rPr>
      </w:pPr>
      <w:bookmarkStart w:id="65" w:name="_Toc117519531"/>
      <w:r>
        <w:rPr>
          <w:b/>
          <w:bCs/>
          <w:i w:val="0"/>
          <w:iCs w:val="0"/>
          <w:color w:val="auto"/>
          <w:sz w:val="20"/>
          <w:szCs w:val="20"/>
        </w:rPr>
        <w:t xml:space="preserve">Tabel 4. </w:t>
      </w:r>
      <w:r>
        <w:rPr>
          <w:b/>
          <w:bCs/>
          <w:i w:val="0"/>
          <w:iCs w:val="0"/>
          <w:color w:val="auto"/>
          <w:sz w:val="20"/>
          <w:szCs w:val="20"/>
        </w:rPr>
        <w:fldChar w:fldCharType="begin"/>
      </w:r>
      <w:r>
        <w:rPr>
          <w:b/>
          <w:bCs/>
          <w:i w:val="0"/>
          <w:iCs w:val="0"/>
          <w:color w:val="auto"/>
          <w:sz w:val="20"/>
          <w:szCs w:val="20"/>
        </w:rPr>
        <w:instrText xml:space="preserve"> SEQ Tabel_4. \* ARABIC </w:instrText>
      </w:r>
      <w:r>
        <w:rPr>
          <w:b/>
          <w:bCs/>
          <w:i w:val="0"/>
          <w:iCs w:val="0"/>
          <w:color w:val="auto"/>
          <w:sz w:val="20"/>
          <w:szCs w:val="20"/>
        </w:rPr>
        <w:fldChar w:fldCharType="separate"/>
      </w:r>
      <w:r>
        <w:rPr>
          <w:b/>
          <w:bCs/>
          <w:i w:val="0"/>
          <w:iCs w:val="0"/>
          <w:noProof/>
          <w:color w:val="auto"/>
          <w:sz w:val="20"/>
          <w:szCs w:val="20"/>
        </w:rPr>
        <w:t>12</w:t>
      </w:r>
      <w:r>
        <w:rPr>
          <w:b/>
          <w:bCs/>
          <w:i w:val="0"/>
          <w:iCs w:val="0"/>
          <w:color w:val="auto"/>
          <w:sz w:val="20"/>
          <w:szCs w:val="20"/>
        </w:rPr>
        <w:fldChar w:fldCharType="end"/>
      </w:r>
      <w:r>
        <w:rPr>
          <w:b/>
          <w:bCs/>
          <w:i w:val="0"/>
          <w:iCs w:val="0"/>
          <w:color w:val="auto"/>
          <w:sz w:val="20"/>
          <w:szCs w:val="20"/>
          <w:lang w:val="en-US"/>
        </w:rPr>
        <w:t xml:space="preserve"> </w:t>
      </w:r>
      <w:r>
        <w:rPr>
          <w:b/>
          <w:bCs/>
          <w:i w:val="0"/>
          <w:iCs w:val="0"/>
          <w:color w:val="auto"/>
          <w:sz w:val="20"/>
          <w:szCs w:val="20"/>
          <w:lang w:val="en-US"/>
        </w:rPr>
        <w:tab/>
      </w:r>
      <w:r>
        <w:rPr>
          <w:rFonts w:cs="Arial"/>
          <w:b/>
          <w:bCs/>
          <w:i w:val="0"/>
          <w:iCs w:val="0"/>
          <w:color w:val="auto"/>
          <w:sz w:val="20"/>
          <w:szCs w:val="20"/>
        </w:rPr>
        <w:t>Persentase Penduduk Umur 15 Tahun ke Atas Menurut Kabupaten/Kota, Ijazah Tertinggi yang Dimiliki, dan Jenis Kelamin, 2021</w:t>
      </w:r>
      <w:bookmarkEnd w:id="65"/>
    </w:p>
    <w:tbl>
      <w:tblPr>
        <w:tblW w:w="624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61"/>
        <w:gridCol w:w="780"/>
        <w:gridCol w:w="781"/>
        <w:gridCol w:w="780"/>
        <w:gridCol w:w="779"/>
        <w:gridCol w:w="780"/>
        <w:gridCol w:w="780"/>
      </w:tblGrid>
      <w:tr>
        <w:trPr>
          <w:cantSplit/>
          <w:trHeight w:val="397"/>
        </w:trPr>
        <w:tc>
          <w:tcPr>
            <w:tcW w:w="1561" w:type="dxa"/>
            <w:vMerge w:val="restart"/>
            <w:shd w:val="clear" w:color="auto" w:fill="38003D"/>
            <w:vAlign w:val="center"/>
            <w:hideMark/>
          </w:tcPr>
          <w:p>
            <w:pPr>
              <w:spacing w:after="0"/>
              <w:jc w:val="center"/>
              <w:rPr>
                <w:b/>
                <w:bCs/>
                <w:snapToGrid w:val="0"/>
                <w:sz w:val="20"/>
                <w:szCs w:val="20"/>
              </w:rPr>
            </w:pPr>
            <w:r>
              <w:rPr>
                <w:b/>
                <w:bCs/>
                <w:snapToGrid w:val="0"/>
                <w:sz w:val="20"/>
                <w:szCs w:val="20"/>
              </w:rPr>
              <w:t>Kabupaten/Kota</w:t>
            </w:r>
          </w:p>
        </w:tc>
        <w:tc>
          <w:tcPr>
            <w:tcW w:w="1561" w:type="dxa"/>
            <w:gridSpan w:val="2"/>
            <w:shd w:val="clear" w:color="auto" w:fill="38003D"/>
            <w:vAlign w:val="center"/>
            <w:hideMark/>
          </w:tcPr>
          <w:p>
            <w:pPr>
              <w:spacing w:after="0"/>
              <w:jc w:val="center"/>
              <w:rPr>
                <w:b/>
                <w:bCs/>
                <w:snapToGrid w:val="0"/>
                <w:sz w:val="20"/>
                <w:szCs w:val="20"/>
              </w:rPr>
            </w:pPr>
            <w:r>
              <w:rPr>
                <w:b/>
                <w:bCs/>
                <w:snapToGrid w:val="0"/>
                <w:sz w:val="20"/>
                <w:szCs w:val="20"/>
              </w:rPr>
              <w:t>SD ke bawah</w:t>
            </w:r>
          </w:p>
        </w:tc>
        <w:tc>
          <w:tcPr>
            <w:tcW w:w="1559" w:type="dxa"/>
            <w:gridSpan w:val="2"/>
            <w:shd w:val="clear" w:color="auto" w:fill="38003D"/>
            <w:vAlign w:val="center"/>
            <w:hideMark/>
          </w:tcPr>
          <w:p>
            <w:pPr>
              <w:spacing w:after="0"/>
              <w:jc w:val="center"/>
              <w:rPr>
                <w:b/>
                <w:bCs/>
                <w:snapToGrid w:val="0"/>
                <w:sz w:val="20"/>
                <w:szCs w:val="20"/>
              </w:rPr>
            </w:pPr>
            <w:r>
              <w:rPr>
                <w:b/>
                <w:bCs/>
                <w:snapToGrid w:val="0"/>
                <w:sz w:val="20"/>
                <w:szCs w:val="20"/>
              </w:rPr>
              <w:t>SMP</w:t>
            </w:r>
          </w:p>
        </w:tc>
        <w:tc>
          <w:tcPr>
            <w:tcW w:w="1560" w:type="dxa"/>
            <w:gridSpan w:val="2"/>
            <w:shd w:val="clear" w:color="auto" w:fill="38003D"/>
            <w:vAlign w:val="center"/>
            <w:hideMark/>
          </w:tcPr>
          <w:p>
            <w:pPr>
              <w:spacing w:after="0"/>
              <w:jc w:val="center"/>
              <w:rPr>
                <w:b/>
                <w:bCs/>
                <w:snapToGrid w:val="0"/>
                <w:sz w:val="20"/>
                <w:szCs w:val="20"/>
              </w:rPr>
            </w:pPr>
            <w:r>
              <w:rPr>
                <w:b/>
                <w:bCs/>
                <w:snapToGrid w:val="0"/>
                <w:sz w:val="20"/>
                <w:szCs w:val="20"/>
              </w:rPr>
              <w:t>SMA/SMK</w:t>
            </w:r>
          </w:p>
        </w:tc>
      </w:tr>
      <w:tr>
        <w:trPr>
          <w:cantSplit/>
          <w:trHeight w:val="397"/>
        </w:trPr>
        <w:tc>
          <w:tcPr>
            <w:tcW w:w="1561" w:type="dxa"/>
            <w:vMerge/>
            <w:shd w:val="clear" w:color="auto" w:fill="38003D"/>
            <w:vAlign w:val="center"/>
            <w:hideMark/>
          </w:tcPr>
          <w:p>
            <w:pPr>
              <w:spacing w:after="0"/>
              <w:rPr>
                <w:b/>
                <w:bCs/>
                <w:snapToGrid w:val="0"/>
                <w:sz w:val="20"/>
                <w:szCs w:val="20"/>
              </w:rPr>
            </w:pPr>
          </w:p>
        </w:tc>
        <w:tc>
          <w:tcPr>
            <w:tcW w:w="780" w:type="dxa"/>
            <w:shd w:val="clear" w:color="auto" w:fill="38003D"/>
            <w:vAlign w:val="center"/>
            <w:hideMark/>
          </w:tcPr>
          <w:p>
            <w:pPr>
              <w:spacing w:after="0"/>
              <w:jc w:val="center"/>
              <w:rPr>
                <w:b/>
                <w:bCs/>
                <w:snapToGrid w:val="0"/>
                <w:sz w:val="20"/>
                <w:szCs w:val="20"/>
              </w:rPr>
            </w:pPr>
            <w:r>
              <w:rPr>
                <w:b/>
                <w:bCs/>
                <w:snapToGrid w:val="0"/>
                <w:sz w:val="20"/>
                <w:szCs w:val="20"/>
              </w:rPr>
              <w:t>L</w:t>
            </w:r>
          </w:p>
        </w:tc>
        <w:tc>
          <w:tcPr>
            <w:tcW w:w="781" w:type="dxa"/>
            <w:shd w:val="clear" w:color="auto" w:fill="38003D"/>
            <w:vAlign w:val="center"/>
            <w:hideMark/>
          </w:tcPr>
          <w:p>
            <w:pPr>
              <w:spacing w:after="0"/>
              <w:jc w:val="center"/>
              <w:rPr>
                <w:b/>
                <w:bCs/>
                <w:snapToGrid w:val="0"/>
                <w:sz w:val="20"/>
                <w:szCs w:val="20"/>
              </w:rPr>
            </w:pPr>
            <w:r>
              <w:rPr>
                <w:b/>
                <w:bCs/>
                <w:snapToGrid w:val="0"/>
                <w:sz w:val="20"/>
                <w:szCs w:val="20"/>
              </w:rPr>
              <w:t>P</w:t>
            </w:r>
          </w:p>
        </w:tc>
        <w:tc>
          <w:tcPr>
            <w:tcW w:w="780" w:type="dxa"/>
            <w:shd w:val="clear" w:color="auto" w:fill="38003D"/>
            <w:vAlign w:val="center"/>
            <w:hideMark/>
          </w:tcPr>
          <w:p>
            <w:pPr>
              <w:spacing w:after="0"/>
              <w:jc w:val="center"/>
              <w:rPr>
                <w:b/>
                <w:bCs/>
                <w:snapToGrid w:val="0"/>
                <w:sz w:val="20"/>
                <w:szCs w:val="20"/>
              </w:rPr>
            </w:pPr>
            <w:r>
              <w:rPr>
                <w:b/>
                <w:bCs/>
                <w:snapToGrid w:val="0"/>
                <w:sz w:val="20"/>
                <w:szCs w:val="20"/>
              </w:rPr>
              <w:t>L</w:t>
            </w:r>
          </w:p>
        </w:tc>
        <w:tc>
          <w:tcPr>
            <w:tcW w:w="779" w:type="dxa"/>
            <w:shd w:val="clear" w:color="auto" w:fill="38003D"/>
            <w:vAlign w:val="center"/>
            <w:hideMark/>
          </w:tcPr>
          <w:p>
            <w:pPr>
              <w:spacing w:after="0"/>
              <w:jc w:val="center"/>
              <w:rPr>
                <w:b/>
                <w:bCs/>
                <w:snapToGrid w:val="0"/>
                <w:sz w:val="20"/>
                <w:szCs w:val="20"/>
              </w:rPr>
            </w:pPr>
            <w:r>
              <w:rPr>
                <w:b/>
                <w:bCs/>
                <w:snapToGrid w:val="0"/>
                <w:sz w:val="20"/>
                <w:szCs w:val="20"/>
              </w:rPr>
              <w:t>P</w:t>
            </w:r>
          </w:p>
        </w:tc>
        <w:tc>
          <w:tcPr>
            <w:tcW w:w="780" w:type="dxa"/>
            <w:shd w:val="clear" w:color="auto" w:fill="38003D"/>
            <w:vAlign w:val="center"/>
            <w:hideMark/>
          </w:tcPr>
          <w:p>
            <w:pPr>
              <w:spacing w:after="0"/>
              <w:jc w:val="center"/>
              <w:rPr>
                <w:b/>
                <w:bCs/>
                <w:snapToGrid w:val="0"/>
                <w:sz w:val="20"/>
                <w:szCs w:val="20"/>
              </w:rPr>
            </w:pPr>
            <w:r>
              <w:rPr>
                <w:b/>
                <w:bCs/>
                <w:snapToGrid w:val="0"/>
                <w:sz w:val="20"/>
                <w:szCs w:val="20"/>
              </w:rPr>
              <w:t>L</w:t>
            </w:r>
          </w:p>
        </w:tc>
        <w:tc>
          <w:tcPr>
            <w:tcW w:w="780" w:type="dxa"/>
            <w:shd w:val="clear" w:color="auto" w:fill="38003D"/>
            <w:vAlign w:val="center"/>
            <w:hideMark/>
          </w:tcPr>
          <w:p>
            <w:pPr>
              <w:spacing w:after="0"/>
              <w:jc w:val="center"/>
              <w:rPr>
                <w:b/>
                <w:bCs/>
                <w:snapToGrid w:val="0"/>
                <w:sz w:val="20"/>
                <w:szCs w:val="20"/>
              </w:rPr>
            </w:pPr>
            <w:r>
              <w:rPr>
                <w:b/>
                <w:bCs/>
                <w:snapToGrid w:val="0"/>
                <w:sz w:val="20"/>
                <w:szCs w:val="20"/>
              </w:rPr>
              <w:t>P</w:t>
            </w:r>
          </w:p>
        </w:tc>
      </w:tr>
      <w:tr>
        <w:trPr>
          <w:cantSplit/>
          <w:trHeight w:val="227"/>
        </w:trPr>
        <w:tc>
          <w:tcPr>
            <w:tcW w:w="1561"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(1)</w:t>
            </w:r>
          </w:p>
        </w:tc>
        <w:tc>
          <w:tcPr>
            <w:tcW w:w="780"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(2)</w:t>
            </w:r>
          </w:p>
        </w:tc>
        <w:tc>
          <w:tcPr>
            <w:tcW w:w="781"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(3)</w:t>
            </w:r>
          </w:p>
        </w:tc>
        <w:tc>
          <w:tcPr>
            <w:tcW w:w="780"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(4)</w:t>
            </w:r>
          </w:p>
        </w:tc>
        <w:tc>
          <w:tcPr>
            <w:tcW w:w="779"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(5)</w:t>
            </w:r>
          </w:p>
        </w:tc>
        <w:tc>
          <w:tcPr>
            <w:tcW w:w="780"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(6)</w:t>
            </w:r>
          </w:p>
        </w:tc>
        <w:tc>
          <w:tcPr>
            <w:tcW w:w="780" w:type="dxa"/>
            <w:tcBorders>
              <w:bottom w:val="single" w:sz="4" w:space="0" w:color="auto"/>
            </w:tcBorders>
            <w:shd w:val="clear" w:color="auto" w:fill="38003D"/>
            <w:vAlign w:val="center"/>
            <w:hideMark/>
          </w:tcPr>
          <w:p>
            <w:pPr>
              <w:spacing w:after="0"/>
              <w:jc w:val="center"/>
              <w:rPr>
                <w:snapToGrid w:val="0"/>
                <w:sz w:val="20"/>
                <w:szCs w:val="20"/>
              </w:rPr>
            </w:pPr>
            <w:r>
              <w:rPr>
                <w:snapToGrid w:val="0"/>
                <w:sz w:val="20"/>
                <w:szCs w:val="20"/>
              </w:rPr>
              <w:t>(7)</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38,26</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43,16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23,41</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23,99</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27,95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21,64</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42,19</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47,71</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24,62</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23,60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24,91</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21,25</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49,02</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53,03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25,12</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26,26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19,08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15,70</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33,46</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41,02</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27,99</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26,48</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28,13</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19,96</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34,88</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39,07</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29,47</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25,13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25,61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23,50</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45,92</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46,40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22,48</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22,57</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22,28</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18,22</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45,19</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48,74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21,12</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24,61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21,10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13,78</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45,15</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53,33</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26,88</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24,07</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21,09</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14,16</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35,60</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41,64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34,01</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31,91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21,81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18,78</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45,05</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50,86</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25,68</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23,37</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21,59</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16,31</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33,81</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34,55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35,87</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31,02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23,21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23,68</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32,95</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32,79</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28,75</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28,39</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30,16</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26,93</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49,52</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53,21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24,72</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23,59</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17,95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15,38</w:t>
            </w:r>
          </w:p>
        </w:tc>
      </w:tr>
      <w:tr>
        <w:trPr>
          <w:cantSplit/>
          <w:trHeight w:val="312"/>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17,09</w:t>
            </w:r>
          </w:p>
        </w:tc>
        <w:tc>
          <w:tcPr>
            <w:tcW w:w="7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16,31</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24,01</w:t>
            </w:r>
          </w:p>
        </w:tc>
        <w:tc>
          <w:tcPr>
            <w:tcW w:w="7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25,40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35,60</w:t>
            </w:r>
          </w:p>
        </w:tc>
        <w:tc>
          <w:tcPr>
            <w:tcW w:w="7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33,02</w:t>
            </w:r>
          </w:p>
        </w:tc>
      </w:tr>
      <w:tr>
        <w:trPr>
          <w:cantSplit/>
          <w:trHeight w:val="397"/>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38,81</w:t>
            </w:r>
          </w:p>
        </w:tc>
        <w:tc>
          <w:tcPr>
            <w:tcW w:w="7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42,68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26,22</w:t>
            </w:r>
          </w:p>
        </w:tc>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25,52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24,88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20,86</w:t>
            </w:r>
          </w:p>
        </w:tc>
      </w:tr>
    </w:tbl>
    <w:p>
      <w:pPr>
        <w:spacing w:line="360" w:lineRule="auto"/>
        <w:ind w:left="284"/>
        <w:jc w:val="both"/>
        <w:rPr>
          <w:rFonts w:cs="Arial"/>
          <w:i/>
          <w:color w:val="FF0000"/>
          <w:sz w:val="18"/>
          <w:szCs w:val="18"/>
        </w:rPr>
      </w:pPr>
      <w:r>
        <w:rPr>
          <w:rFonts w:cs="Calibri"/>
          <w:bCs/>
          <w:i/>
          <w:sz w:val="18"/>
          <w:szCs w:val="18"/>
        </w:rPr>
        <w:t>Sumber: BPS, Susenas 2021</w:t>
      </w:r>
    </w:p>
    <w:p>
      <w:pPr>
        <w:rPr>
          <w:lang w:val="en-US"/>
        </w:rPr>
      </w:pPr>
    </w:p>
    <w:p>
      <w:pPr>
        <w:rPr>
          <w:lang w:val="en-US"/>
        </w:rPr>
      </w:pPr>
      <w:r>
        <w:rPr>
          <w:lang w:val="en-US"/>
        </w:rPr>
        <w:lastRenderedPageBreak/>
        <w:br/>
      </w:r>
    </w:p>
    <w:p>
      <w:pPr>
        <w:ind w:left="993" w:hanging="709"/>
        <w:jc w:val="both"/>
        <w:rPr>
          <w:rFonts w:cs="Arial"/>
          <w:b/>
          <w:sz w:val="20"/>
          <w:szCs w:val="20"/>
        </w:rPr>
      </w:pPr>
      <w:r>
        <w:rPr>
          <w:rFonts w:cs="Arial"/>
          <w:b/>
          <w:sz w:val="20"/>
          <w:szCs w:val="20"/>
        </w:rPr>
        <w:t>Lanjutan Tabel 4.12.</w:t>
      </w:r>
    </w:p>
    <w:tbl>
      <w:tblPr>
        <w:tblW w:w="624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59"/>
        <w:gridCol w:w="1170"/>
        <w:gridCol w:w="1171"/>
        <w:gridCol w:w="1170"/>
        <w:gridCol w:w="1171"/>
      </w:tblGrid>
      <w:tr>
        <w:trPr>
          <w:cantSplit/>
          <w:trHeight w:val="397"/>
        </w:trPr>
        <w:tc>
          <w:tcPr>
            <w:tcW w:w="1559" w:type="dxa"/>
            <w:vMerge w:val="restart"/>
            <w:shd w:val="clear" w:color="auto" w:fill="38003D"/>
            <w:vAlign w:val="center"/>
            <w:hideMark/>
          </w:tcPr>
          <w:p>
            <w:pPr>
              <w:spacing w:after="0"/>
              <w:jc w:val="center"/>
              <w:rPr>
                <w:b/>
                <w:bCs/>
                <w:snapToGrid w:val="0"/>
                <w:sz w:val="18"/>
                <w:szCs w:val="18"/>
              </w:rPr>
            </w:pPr>
            <w:r>
              <w:rPr>
                <w:b/>
                <w:bCs/>
                <w:snapToGrid w:val="0"/>
                <w:sz w:val="18"/>
                <w:szCs w:val="18"/>
              </w:rPr>
              <w:t>Kabupaten/Kota</w:t>
            </w:r>
          </w:p>
        </w:tc>
        <w:tc>
          <w:tcPr>
            <w:tcW w:w="2341" w:type="dxa"/>
            <w:gridSpan w:val="2"/>
            <w:shd w:val="clear" w:color="auto" w:fill="38003D"/>
            <w:vAlign w:val="center"/>
            <w:hideMark/>
          </w:tcPr>
          <w:p>
            <w:pPr>
              <w:spacing w:after="0"/>
              <w:jc w:val="center"/>
              <w:rPr>
                <w:b/>
                <w:bCs/>
                <w:snapToGrid w:val="0"/>
                <w:sz w:val="18"/>
                <w:szCs w:val="18"/>
              </w:rPr>
            </w:pPr>
            <w:r>
              <w:rPr>
                <w:b/>
                <w:bCs/>
                <w:snapToGrid w:val="0"/>
                <w:sz w:val="18"/>
                <w:szCs w:val="18"/>
              </w:rPr>
              <w:t>D1/D2/D3</w:t>
            </w:r>
          </w:p>
        </w:tc>
        <w:tc>
          <w:tcPr>
            <w:tcW w:w="2341" w:type="dxa"/>
            <w:gridSpan w:val="2"/>
            <w:shd w:val="clear" w:color="auto" w:fill="38003D"/>
            <w:vAlign w:val="center"/>
            <w:hideMark/>
          </w:tcPr>
          <w:p>
            <w:pPr>
              <w:spacing w:after="0"/>
              <w:jc w:val="center"/>
              <w:rPr>
                <w:b/>
                <w:bCs/>
                <w:snapToGrid w:val="0"/>
                <w:sz w:val="18"/>
                <w:szCs w:val="18"/>
              </w:rPr>
            </w:pPr>
            <w:r>
              <w:rPr>
                <w:b/>
                <w:bCs/>
                <w:snapToGrid w:val="0"/>
                <w:sz w:val="18"/>
                <w:szCs w:val="18"/>
              </w:rPr>
              <w:t>D4/S1/Profesi/S2/S3</w:t>
            </w:r>
          </w:p>
        </w:tc>
      </w:tr>
      <w:tr>
        <w:trPr>
          <w:cantSplit/>
          <w:trHeight w:val="397"/>
        </w:trPr>
        <w:tc>
          <w:tcPr>
            <w:tcW w:w="1559" w:type="dxa"/>
            <w:vMerge/>
            <w:shd w:val="clear" w:color="auto" w:fill="38003D"/>
            <w:vAlign w:val="center"/>
            <w:hideMark/>
          </w:tcPr>
          <w:p>
            <w:pPr>
              <w:spacing w:after="0"/>
              <w:rPr>
                <w:b/>
                <w:bCs/>
                <w:snapToGrid w:val="0"/>
                <w:sz w:val="18"/>
                <w:szCs w:val="18"/>
              </w:rPr>
            </w:pPr>
          </w:p>
        </w:tc>
        <w:tc>
          <w:tcPr>
            <w:tcW w:w="1170" w:type="dxa"/>
            <w:shd w:val="clear" w:color="auto" w:fill="38003D"/>
            <w:vAlign w:val="center"/>
            <w:hideMark/>
          </w:tcPr>
          <w:p>
            <w:pPr>
              <w:spacing w:after="0"/>
              <w:jc w:val="center"/>
              <w:rPr>
                <w:b/>
                <w:bCs/>
                <w:snapToGrid w:val="0"/>
                <w:sz w:val="18"/>
                <w:szCs w:val="18"/>
              </w:rPr>
            </w:pPr>
            <w:r>
              <w:rPr>
                <w:b/>
                <w:bCs/>
                <w:snapToGrid w:val="0"/>
                <w:sz w:val="18"/>
                <w:szCs w:val="18"/>
              </w:rPr>
              <w:t>L</w:t>
            </w:r>
          </w:p>
        </w:tc>
        <w:tc>
          <w:tcPr>
            <w:tcW w:w="1171" w:type="dxa"/>
            <w:shd w:val="clear" w:color="auto" w:fill="38003D"/>
            <w:vAlign w:val="center"/>
            <w:hideMark/>
          </w:tcPr>
          <w:p>
            <w:pPr>
              <w:spacing w:after="0"/>
              <w:jc w:val="center"/>
              <w:rPr>
                <w:b/>
                <w:bCs/>
                <w:snapToGrid w:val="0"/>
                <w:sz w:val="18"/>
                <w:szCs w:val="18"/>
              </w:rPr>
            </w:pPr>
            <w:r>
              <w:rPr>
                <w:b/>
                <w:bCs/>
                <w:snapToGrid w:val="0"/>
                <w:sz w:val="18"/>
                <w:szCs w:val="18"/>
              </w:rPr>
              <w:t>P</w:t>
            </w:r>
          </w:p>
        </w:tc>
        <w:tc>
          <w:tcPr>
            <w:tcW w:w="1170" w:type="dxa"/>
            <w:shd w:val="clear" w:color="auto" w:fill="38003D"/>
            <w:vAlign w:val="center"/>
            <w:hideMark/>
          </w:tcPr>
          <w:p>
            <w:pPr>
              <w:spacing w:after="0"/>
              <w:jc w:val="center"/>
              <w:rPr>
                <w:b/>
                <w:bCs/>
                <w:snapToGrid w:val="0"/>
                <w:sz w:val="18"/>
                <w:szCs w:val="18"/>
              </w:rPr>
            </w:pPr>
            <w:r>
              <w:rPr>
                <w:b/>
                <w:bCs/>
                <w:snapToGrid w:val="0"/>
                <w:sz w:val="18"/>
                <w:szCs w:val="18"/>
              </w:rPr>
              <w:t>L</w:t>
            </w:r>
          </w:p>
        </w:tc>
        <w:tc>
          <w:tcPr>
            <w:tcW w:w="1171" w:type="dxa"/>
            <w:shd w:val="clear" w:color="auto" w:fill="38003D"/>
            <w:vAlign w:val="center"/>
            <w:hideMark/>
          </w:tcPr>
          <w:p>
            <w:pPr>
              <w:spacing w:after="0"/>
              <w:jc w:val="center"/>
              <w:rPr>
                <w:b/>
                <w:bCs/>
                <w:snapToGrid w:val="0"/>
                <w:sz w:val="18"/>
                <w:szCs w:val="18"/>
              </w:rPr>
            </w:pPr>
            <w:r>
              <w:rPr>
                <w:b/>
                <w:bCs/>
                <w:snapToGrid w:val="0"/>
                <w:sz w:val="18"/>
                <w:szCs w:val="18"/>
              </w:rPr>
              <w:t>P</w:t>
            </w:r>
          </w:p>
        </w:tc>
      </w:tr>
      <w:tr>
        <w:trPr>
          <w:cantSplit/>
          <w:trHeight w:val="227"/>
        </w:trPr>
        <w:tc>
          <w:tcPr>
            <w:tcW w:w="1559" w:type="dxa"/>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(1)</w:t>
            </w:r>
          </w:p>
        </w:tc>
        <w:tc>
          <w:tcPr>
            <w:tcW w:w="1170" w:type="dxa"/>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(8)</w:t>
            </w:r>
          </w:p>
        </w:tc>
        <w:tc>
          <w:tcPr>
            <w:tcW w:w="1171" w:type="dxa"/>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(9)</w:t>
            </w:r>
          </w:p>
        </w:tc>
        <w:tc>
          <w:tcPr>
            <w:tcW w:w="1170" w:type="dxa"/>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(10)</w:t>
            </w:r>
          </w:p>
        </w:tc>
        <w:tc>
          <w:tcPr>
            <w:tcW w:w="1171" w:type="dxa"/>
            <w:tcBorders>
              <w:bottom w:val="single" w:sz="4" w:space="0" w:color="auto"/>
            </w:tcBorders>
            <w:shd w:val="clear" w:color="auto" w:fill="38003D"/>
            <w:vAlign w:val="center"/>
            <w:hideMark/>
          </w:tcPr>
          <w:p>
            <w:pPr>
              <w:spacing w:after="0"/>
              <w:jc w:val="center"/>
              <w:rPr>
                <w:snapToGrid w:val="0"/>
                <w:sz w:val="18"/>
                <w:szCs w:val="18"/>
              </w:rPr>
            </w:pPr>
            <w:r>
              <w:rPr>
                <w:snapToGrid w:val="0"/>
                <w:sz w:val="18"/>
                <w:szCs w:val="18"/>
              </w:rPr>
              <w:t>(11)</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Kotawaringin Barat</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1,83</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3,63</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8,55</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7,58</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Kotawaringin Timur</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0,37</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0,93</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7,92</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6,52</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Kapuas</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1,15</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1,39</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5,64</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3,62</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Barito Selatan</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2,46</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2,73</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7,96</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9,81</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Barito Utara</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1,00</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2,96</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9,04</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9,33</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Sukamara</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1,26</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3,17</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8,06</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9,64</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Lamandau</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1,17</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4,06</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11,41</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8,82</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Seruyan</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1,29</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3,59</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5,59</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4,84</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Katingan</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0,82</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1,15</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7,76</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6,53</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Pulang Pisau</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1,00</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1,68</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6,68</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7,77</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Gunung Mas</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0,92</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2,56</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6,20</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8,20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Barito Timur</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1,74</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1,78</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6,39</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10,11</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sz w:val="18"/>
                <w:szCs w:val="18"/>
              </w:rPr>
            </w:pPr>
            <w:r>
              <w:rPr>
                <w:sz w:val="18"/>
                <w:szCs w:val="18"/>
              </w:rPr>
              <w:t>Murung Raya</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1,18</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1,84</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6,63</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color w:val="000000"/>
                <w:sz w:val="18"/>
                <w:szCs w:val="18"/>
              </w:rPr>
            </w:pPr>
            <w:r>
              <w:rPr>
                <w:rFonts w:cstheme="minorHAnsi"/>
                <w:color w:val="000000"/>
                <w:sz w:val="18"/>
                <w:szCs w:val="18"/>
              </w:rPr>
              <w:t>5,98</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sz w:val="18"/>
                <w:szCs w:val="18"/>
              </w:rPr>
            </w:pPr>
            <w:r>
              <w:rPr>
                <w:sz w:val="18"/>
                <w:szCs w:val="18"/>
              </w:rPr>
              <w:t>Palangka Raya</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2,99</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4,78</w:t>
            </w:r>
          </w:p>
        </w:tc>
        <w:tc>
          <w:tcPr>
            <w:tcW w:w="117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20,31</w:t>
            </w:r>
          </w:p>
        </w:tc>
        <w:tc>
          <w:tcPr>
            <w:tcW w:w="11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jc w:val="center"/>
              <w:rPr>
                <w:rFonts w:cstheme="minorHAnsi"/>
                <w:color w:val="000000"/>
                <w:sz w:val="18"/>
                <w:szCs w:val="18"/>
              </w:rPr>
            </w:pPr>
            <w:r>
              <w:rPr>
                <w:rFonts w:cstheme="minorHAnsi"/>
                <w:color w:val="000000"/>
                <w:sz w:val="18"/>
                <w:szCs w:val="18"/>
              </w:rPr>
              <w:t>20,48</w:t>
            </w:r>
          </w:p>
        </w:tc>
      </w:tr>
      <w:tr>
        <w:trPr>
          <w:cantSplit/>
          <w:trHeight w:val="397"/>
        </w:trPr>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rPr>
                <w:b/>
                <w:sz w:val="18"/>
                <w:szCs w:val="18"/>
              </w:rPr>
            </w:pPr>
            <w:r>
              <w:rPr>
                <w:b/>
                <w:sz w:val="18"/>
                <w:szCs w:val="18"/>
              </w:rPr>
              <w:t>Kalimantan Tengah</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color w:val="000000"/>
                <w:sz w:val="18"/>
                <w:szCs w:val="18"/>
              </w:rPr>
            </w:pPr>
            <w:r>
              <w:rPr>
                <w:rFonts w:cstheme="minorHAnsi"/>
                <w:b/>
                <w:bCs/>
                <w:color w:val="000000"/>
                <w:sz w:val="18"/>
                <w:szCs w:val="18"/>
              </w:rPr>
              <w:t>1,36</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color w:val="000000"/>
                <w:sz w:val="18"/>
                <w:szCs w:val="18"/>
              </w:rPr>
            </w:pPr>
            <w:r>
              <w:rPr>
                <w:rFonts w:cstheme="minorHAnsi"/>
                <w:b/>
                <w:bCs/>
                <w:color w:val="000000"/>
                <w:sz w:val="18"/>
                <w:szCs w:val="18"/>
              </w:rPr>
              <w:t>2,48</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color w:val="000000"/>
                <w:sz w:val="18"/>
                <w:szCs w:val="18"/>
              </w:rPr>
            </w:pPr>
            <w:r>
              <w:rPr>
                <w:rFonts w:cstheme="minorHAnsi"/>
                <w:b/>
                <w:bCs/>
                <w:color w:val="000000"/>
                <w:sz w:val="18"/>
                <w:szCs w:val="18"/>
              </w:rPr>
              <w:t>8,73</w:t>
            </w:r>
          </w:p>
        </w:tc>
        <w:tc>
          <w:tcPr>
            <w:tcW w:w="11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jc w:val="center"/>
              <w:rPr>
                <w:rFonts w:cstheme="minorHAnsi"/>
                <w:b/>
                <w:bCs/>
                <w:color w:val="000000"/>
                <w:sz w:val="18"/>
                <w:szCs w:val="18"/>
              </w:rPr>
            </w:pPr>
            <w:r>
              <w:rPr>
                <w:rFonts w:cstheme="minorHAnsi"/>
                <w:b/>
                <w:bCs/>
                <w:color w:val="000000"/>
                <w:sz w:val="18"/>
                <w:szCs w:val="18"/>
              </w:rPr>
              <w:t>8,46</w:t>
            </w:r>
          </w:p>
        </w:tc>
      </w:tr>
    </w:tbl>
    <w:p>
      <w:pPr>
        <w:spacing w:line="360" w:lineRule="auto"/>
        <w:ind w:firstLine="284"/>
        <w:jc w:val="both"/>
        <w:rPr>
          <w:rFonts w:cs="Arial"/>
          <w:i/>
          <w:color w:val="FF0000"/>
          <w:sz w:val="16"/>
          <w:szCs w:val="16"/>
        </w:rPr>
      </w:pPr>
      <w:r>
        <w:rPr>
          <w:rFonts w:cs="Calibri"/>
          <w:bCs/>
          <w:i/>
          <w:sz w:val="16"/>
          <w:szCs w:val="16"/>
        </w:rPr>
        <w:t>Sumber: BPS, Susenas 2021</w:t>
      </w:r>
    </w:p>
    <w:p>
      <w:pPr>
        <w:rPr>
          <w:lang w:val="en-US"/>
        </w:rPr>
      </w:pPr>
    </w:p>
    <w:p>
      <w:pPr>
        <w:rPr>
          <w:lang w:val="en-US"/>
        </w:rPr>
      </w:pPr>
    </w:p>
    <w:p>
      <w:pPr>
        <w:rPr>
          <w:lang w:val="en-US"/>
        </w:rPr>
      </w:pPr>
    </w:p>
    <w:p>
      <w:pPr>
        <w:pStyle w:val="Heading2"/>
        <w:numPr>
          <w:ilvl w:val="0"/>
          <w:numId w:val="0"/>
        </w:numPr>
        <w:ind w:left="709" w:hanging="425"/>
        <w:rPr>
          <w:rFonts w:asciiTheme="minorHAnsi" w:hAnsiTheme="minorHAnsi" w:cstheme="minorHAnsi"/>
          <w:sz w:val="20"/>
          <w:szCs w:val="20"/>
          <w:lang w:val="en-US"/>
        </w:rPr>
      </w:pPr>
      <w:bookmarkStart w:id="66" w:name="_Toc118715987"/>
      <w:r>
        <w:rPr>
          <w:rFonts w:asciiTheme="minorHAnsi" w:hAnsiTheme="minorHAnsi" w:cstheme="minorHAnsi"/>
          <w:sz w:val="20"/>
          <w:szCs w:val="20"/>
          <w:lang w:val="en-US"/>
        </w:rPr>
        <w:t>4.6</w:t>
      </w:r>
      <w:r>
        <w:rPr>
          <w:rFonts w:asciiTheme="minorHAnsi" w:hAnsiTheme="minorHAnsi" w:cstheme="minorHAnsi"/>
          <w:sz w:val="20"/>
          <w:szCs w:val="20"/>
          <w:lang w:val="en-US"/>
        </w:rPr>
        <w:tab/>
        <w:t>Rata-rata Lama Sekolah</w:t>
      </w:r>
      <w:bookmarkEnd w:id="66"/>
    </w:p>
    <w:p>
      <w:pPr>
        <w:spacing w:line="360" w:lineRule="auto"/>
        <w:ind w:left="284" w:firstLine="567"/>
        <w:jc w:val="both"/>
        <w:rPr>
          <w:rFonts w:cstheme="minorHAnsi"/>
          <w:sz w:val="20"/>
          <w:szCs w:val="20"/>
        </w:rPr>
      </w:pPr>
      <w:r>
        <w:rPr>
          <w:rFonts w:cstheme="minorHAnsi"/>
          <w:sz w:val="20"/>
          <w:szCs w:val="20"/>
        </w:rPr>
        <w:t>Indikator lain yang digunakan untuk melihat tingkat pendidikan adalah rata-rata lama sekolah yang secara umum menunjukkan jenjang pendidikan yang telah dicapai oleh penduduk usia 15 tahun ke atas. Pada tahun 2021, rata-rata lama sekolah penduduk laki-laki berusia 15 tahun ke atas sebesar 9,23 tahun, sedangkan penduduk perempuan selama 8,80 tahun. Meskipun rata-rata lama sekolah penduduk laki-laki masih lebih besar daripada perempuan, namun dibandingkan tahun 2020, terlihat ada peningkatan rata-rata lama sekolah.</w:t>
      </w: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pStyle w:val="Caption"/>
        <w:ind w:left="1276" w:hanging="992"/>
        <w:rPr>
          <w:b/>
          <w:bCs/>
          <w:i w:val="0"/>
          <w:iCs w:val="0"/>
          <w:color w:val="auto"/>
          <w:sz w:val="20"/>
          <w:szCs w:val="20"/>
          <w:lang w:val="en-US"/>
        </w:rPr>
      </w:pPr>
      <w:bookmarkStart w:id="67" w:name="_Toc117519532"/>
      <w:r>
        <w:rPr>
          <w:b/>
          <w:bCs/>
          <w:i w:val="0"/>
          <w:iCs w:val="0"/>
          <w:color w:val="auto"/>
          <w:sz w:val="20"/>
          <w:szCs w:val="20"/>
        </w:rPr>
        <w:t xml:space="preserve">Tabel 4. </w:t>
      </w:r>
      <w:r>
        <w:rPr>
          <w:b/>
          <w:bCs/>
          <w:i w:val="0"/>
          <w:iCs w:val="0"/>
          <w:color w:val="auto"/>
          <w:sz w:val="20"/>
          <w:szCs w:val="20"/>
        </w:rPr>
        <w:fldChar w:fldCharType="begin"/>
      </w:r>
      <w:r>
        <w:rPr>
          <w:b/>
          <w:bCs/>
          <w:i w:val="0"/>
          <w:iCs w:val="0"/>
          <w:color w:val="auto"/>
          <w:sz w:val="20"/>
          <w:szCs w:val="20"/>
        </w:rPr>
        <w:instrText xml:space="preserve"> SEQ Tabel_4. \* ARABIC </w:instrText>
      </w:r>
      <w:r>
        <w:rPr>
          <w:b/>
          <w:bCs/>
          <w:i w:val="0"/>
          <w:iCs w:val="0"/>
          <w:color w:val="auto"/>
          <w:sz w:val="20"/>
          <w:szCs w:val="20"/>
        </w:rPr>
        <w:fldChar w:fldCharType="separate"/>
      </w:r>
      <w:r>
        <w:rPr>
          <w:b/>
          <w:bCs/>
          <w:i w:val="0"/>
          <w:iCs w:val="0"/>
          <w:noProof/>
          <w:color w:val="auto"/>
          <w:sz w:val="20"/>
          <w:szCs w:val="20"/>
        </w:rPr>
        <w:t>13</w:t>
      </w:r>
      <w:r>
        <w:rPr>
          <w:b/>
          <w:bCs/>
          <w:i w:val="0"/>
          <w:iCs w:val="0"/>
          <w:color w:val="auto"/>
          <w:sz w:val="20"/>
          <w:szCs w:val="20"/>
        </w:rPr>
        <w:fldChar w:fldCharType="end"/>
      </w:r>
      <w:r>
        <w:rPr>
          <w:b/>
          <w:bCs/>
          <w:i w:val="0"/>
          <w:iCs w:val="0"/>
          <w:color w:val="auto"/>
          <w:sz w:val="20"/>
          <w:szCs w:val="20"/>
        </w:rPr>
        <w:tab/>
      </w:r>
      <w:r>
        <w:rPr>
          <w:rFonts w:cs="Arial"/>
          <w:b/>
          <w:bCs/>
          <w:i w:val="0"/>
          <w:iCs w:val="0"/>
          <w:color w:val="auto"/>
          <w:sz w:val="20"/>
          <w:szCs w:val="20"/>
        </w:rPr>
        <w:t>Rata-rata Lama Sekolah (dalam tahun) Penduduk Umur 15 Tahun ke Atas Menurut Kabupaten/Kota dan Jenis Kelamin, 2020-2021</w:t>
      </w:r>
      <w:bookmarkEnd w:id="67"/>
    </w:p>
    <w:tbl>
      <w:tblPr>
        <w:tblW w:w="612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85"/>
        <w:gridCol w:w="1134"/>
        <w:gridCol w:w="1134"/>
        <w:gridCol w:w="1134"/>
        <w:gridCol w:w="1134"/>
      </w:tblGrid>
      <w:tr>
        <w:trPr>
          <w:cantSplit/>
          <w:trHeight w:val="397"/>
        </w:trPr>
        <w:tc>
          <w:tcPr>
            <w:tcW w:w="1585" w:type="dxa"/>
            <w:vMerge w:val="restart"/>
            <w:shd w:val="clear" w:color="auto" w:fill="38003D"/>
            <w:vAlign w:val="center"/>
            <w:hideMark/>
          </w:tcPr>
          <w:p>
            <w:pPr>
              <w:spacing w:after="0" w:line="240" w:lineRule="auto"/>
              <w:jc w:val="center"/>
              <w:rPr>
                <w:b/>
                <w:bCs/>
                <w:snapToGrid w:val="0"/>
                <w:sz w:val="18"/>
                <w:szCs w:val="18"/>
              </w:rPr>
            </w:pPr>
            <w:r>
              <w:rPr>
                <w:b/>
                <w:bCs/>
                <w:snapToGrid w:val="0"/>
                <w:sz w:val="18"/>
                <w:szCs w:val="18"/>
              </w:rPr>
              <w:t>Kabupaten/Kota</w:t>
            </w:r>
          </w:p>
        </w:tc>
        <w:tc>
          <w:tcPr>
            <w:tcW w:w="2268" w:type="dxa"/>
            <w:gridSpan w:val="2"/>
            <w:shd w:val="clear" w:color="auto" w:fill="38003D"/>
            <w:vAlign w:val="center"/>
            <w:hideMark/>
          </w:tcPr>
          <w:p>
            <w:pPr>
              <w:spacing w:after="0" w:line="240" w:lineRule="auto"/>
              <w:jc w:val="center"/>
              <w:rPr>
                <w:b/>
                <w:bCs/>
                <w:snapToGrid w:val="0"/>
                <w:sz w:val="18"/>
                <w:szCs w:val="18"/>
              </w:rPr>
            </w:pPr>
            <w:r>
              <w:rPr>
                <w:b/>
                <w:bCs/>
                <w:snapToGrid w:val="0"/>
                <w:sz w:val="18"/>
                <w:szCs w:val="18"/>
              </w:rPr>
              <w:t>Laki-laki</w:t>
            </w:r>
          </w:p>
        </w:tc>
        <w:tc>
          <w:tcPr>
            <w:tcW w:w="2268" w:type="dxa"/>
            <w:gridSpan w:val="2"/>
            <w:shd w:val="clear" w:color="auto" w:fill="38003D"/>
            <w:vAlign w:val="center"/>
            <w:hideMark/>
          </w:tcPr>
          <w:p>
            <w:pPr>
              <w:spacing w:after="0" w:line="240" w:lineRule="auto"/>
              <w:jc w:val="center"/>
              <w:rPr>
                <w:b/>
                <w:bCs/>
                <w:snapToGrid w:val="0"/>
                <w:sz w:val="18"/>
                <w:szCs w:val="18"/>
              </w:rPr>
            </w:pPr>
            <w:r>
              <w:rPr>
                <w:b/>
                <w:bCs/>
                <w:snapToGrid w:val="0"/>
                <w:sz w:val="18"/>
                <w:szCs w:val="18"/>
              </w:rPr>
              <w:t>Perempuan</w:t>
            </w:r>
          </w:p>
        </w:tc>
      </w:tr>
      <w:tr>
        <w:trPr>
          <w:cantSplit/>
          <w:trHeight w:val="397"/>
        </w:trPr>
        <w:tc>
          <w:tcPr>
            <w:tcW w:w="1585" w:type="dxa"/>
            <w:vMerge/>
            <w:shd w:val="clear" w:color="auto" w:fill="38003D"/>
            <w:vAlign w:val="center"/>
            <w:hideMark/>
          </w:tcPr>
          <w:p>
            <w:pPr>
              <w:spacing w:after="0" w:line="240" w:lineRule="auto"/>
              <w:rPr>
                <w:b/>
                <w:bCs/>
                <w:snapToGrid w:val="0"/>
                <w:sz w:val="18"/>
                <w:szCs w:val="18"/>
              </w:rPr>
            </w:pPr>
          </w:p>
        </w:tc>
        <w:tc>
          <w:tcPr>
            <w:tcW w:w="1134" w:type="dxa"/>
            <w:shd w:val="clear" w:color="auto" w:fill="38003D"/>
            <w:vAlign w:val="center"/>
            <w:hideMark/>
          </w:tcPr>
          <w:p>
            <w:pPr>
              <w:spacing w:after="0" w:line="240" w:lineRule="auto"/>
              <w:jc w:val="center"/>
              <w:rPr>
                <w:b/>
                <w:bCs/>
                <w:snapToGrid w:val="0"/>
                <w:sz w:val="18"/>
                <w:szCs w:val="18"/>
              </w:rPr>
            </w:pPr>
            <w:r>
              <w:rPr>
                <w:b/>
                <w:bCs/>
                <w:snapToGrid w:val="0"/>
                <w:sz w:val="18"/>
                <w:szCs w:val="18"/>
              </w:rPr>
              <w:t>2020</w:t>
            </w:r>
          </w:p>
        </w:tc>
        <w:tc>
          <w:tcPr>
            <w:tcW w:w="1134" w:type="dxa"/>
            <w:shd w:val="clear" w:color="auto" w:fill="38003D"/>
            <w:vAlign w:val="center"/>
            <w:hideMark/>
          </w:tcPr>
          <w:p>
            <w:pPr>
              <w:spacing w:after="0" w:line="240" w:lineRule="auto"/>
              <w:jc w:val="center"/>
              <w:rPr>
                <w:b/>
                <w:bCs/>
                <w:snapToGrid w:val="0"/>
                <w:sz w:val="18"/>
                <w:szCs w:val="18"/>
              </w:rPr>
            </w:pPr>
            <w:r>
              <w:rPr>
                <w:b/>
                <w:bCs/>
                <w:snapToGrid w:val="0"/>
                <w:sz w:val="18"/>
                <w:szCs w:val="18"/>
              </w:rPr>
              <w:t>2021</w:t>
            </w:r>
          </w:p>
        </w:tc>
        <w:tc>
          <w:tcPr>
            <w:tcW w:w="1134" w:type="dxa"/>
            <w:shd w:val="clear" w:color="auto" w:fill="38003D"/>
            <w:vAlign w:val="center"/>
            <w:hideMark/>
          </w:tcPr>
          <w:p>
            <w:pPr>
              <w:spacing w:after="0" w:line="240" w:lineRule="auto"/>
              <w:jc w:val="center"/>
              <w:rPr>
                <w:b/>
                <w:bCs/>
                <w:snapToGrid w:val="0"/>
                <w:sz w:val="18"/>
                <w:szCs w:val="18"/>
              </w:rPr>
            </w:pPr>
            <w:r>
              <w:rPr>
                <w:b/>
                <w:bCs/>
                <w:snapToGrid w:val="0"/>
                <w:sz w:val="18"/>
                <w:szCs w:val="18"/>
              </w:rPr>
              <w:t>2020</w:t>
            </w:r>
          </w:p>
        </w:tc>
        <w:tc>
          <w:tcPr>
            <w:tcW w:w="1134" w:type="dxa"/>
            <w:shd w:val="clear" w:color="auto" w:fill="38003D"/>
            <w:vAlign w:val="center"/>
            <w:hideMark/>
          </w:tcPr>
          <w:p>
            <w:pPr>
              <w:spacing w:after="0" w:line="240" w:lineRule="auto"/>
              <w:jc w:val="center"/>
              <w:rPr>
                <w:b/>
                <w:bCs/>
                <w:snapToGrid w:val="0"/>
                <w:sz w:val="18"/>
                <w:szCs w:val="18"/>
              </w:rPr>
            </w:pPr>
            <w:r>
              <w:rPr>
                <w:b/>
                <w:bCs/>
                <w:snapToGrid w:val="0"/>
                <w:sz w:val="18"/>
                <w:szCs w:val="18"/>
              </w:rPr>
              <w:t>2021</w:t>
            </w:r>
          </w:p>
        </w:tc>
      </w:tr>
      <w:tr>
        <w:trPr>
          <w:cantSplit/>
          <w:trHeight w:val="227"/>
        </w:trPr>
        <w:tc>
          <w:tcPr>
            <w:tcW w:w="1585"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(1)</w:t>
            </w:r>
          </w:p>
        </w:tc>
        <w:tc>
          <w:tcPr>
            <w:tcW w:w="1134"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(2)</w:t>
            </w:r>
          </w:p>
        </w:tc>
        <w:tc>
          <w:tcPr>
            <w:tcW w:w="1134"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(3)</w:t>
            </w:r>
          </w:p>
        </w:tc>
        <w:tc>
          <w:tcPr>
            <w:tcW w:w="1134"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(4)</w:t>
            </w:r>
          </w:p>
        </w:tc>
        <w:tc>
          <w:tcPr>
            <w:tcW w:w="1134"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(5)</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9,08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9,28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8,36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8,76</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8,53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8,95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8,07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8,31</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8,47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8,15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7,66</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9,59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9,55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8,80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9,06</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9,49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9,36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8,94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9,13</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8,93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8,63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8,26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8,50</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8,82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9,02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8,46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8,37</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8,66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8,69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8,14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8,05</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8,95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9,26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8,53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8,82</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8,87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8,58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8,51</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7,99</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9,44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9,27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9,50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9,38</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9,32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9,42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9,01</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9,40</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8,59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8,27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8,16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7,87</w:t>
            </w:r>
          </w:p>
        </w:tc>
      </w:tr>
      <w:tr>
        <w:trPr>
          <w:cantSplit/>
          <w:trHeight w:val="289"/>
        </w:trPr>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11,34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11,56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11,22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11,52</w:t>
            </w:r>
          </w:p>
        </w:tc>
      </w:tr>
      <w:tr>
        <w:trPr>
          <w:cantSplit/>
          <w:trHeight w:val="340"/>
        </w:trPr>
        <w:tc>
          <w:tcPr>
            <w:tcW w:w="15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9,14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color w:val="000000"/>
                <w:sz w:val="18"/>
                <w:szCs w:val="18"/>
              </w:rPr>
            </w:pPr>
            <w:r>
              <w:rPr>
                <w:rFonts w:cstheme="minorHAnsi"/>
                <w:b/>
                <w:bCs/>
                <w:color w:val="000000"/>
                <w:sz w:val="18"/>
                <w:szCs w:val="18"/>
              </w:rPr>
              <w:t>9,23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8,74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color w:val="000000"/>
                <w:sz w:val="18"/>
                <w:szCs w:val="18"/>
              </w:rPr>
            </w:pPr>
            <w:r>
              <w:rPr>
                <w:rFonts w:cstheme="minorHAnsi"/>
                <w:b/>
                <w:bCs/>
                <w:color w:val="000000"/>
                <w:sz w:val="18"/>
                <w:szCs w:val="18"/>
              </w:rPr>
              <w:t>8,80</w:t>
            </w:r>
          </w:p>
        </w:tc>
      </w:tr>
    </w:tbl>
    <w:p>
      <w:pPr>
        <w:pStyle w:val="BodyTextIndent2"/>
        <w:spacing w:line="240" w:lineRule="auto"/>
        <w:ind w:left="284" w:right="-425"/>
        <w:rPr>
          <w:rFonts w:asciiTheme="minorHAnsi" w:hAnsiTheme="minorHAnsi" w:cs="Calibri"/>
          <w:bCs/>
          <w:i/>
          <w:sz w:val="18"/>
          <w:szCs w:val="18"/>
        </w:rPr>
      </w:pPr>
      <w:r>
        <w:rPr>
          <w:rFonts w:asciiTheme="minorHAnsi" w:hAnsiTheme="minorHAnsi" w:cs="Calibri"/>
          <w:bCs/>
          <w:i/>
          <w:sz w:val="18"/>
          <w:szCs w:val="18"/>
          <w:lang w:val="id-ID"/>
        </w:rPr>
        <w:t>Sumber: BPS, Susenas 20</w:t>
      </w:r>
      <w:r>
        <w:rPr>
          <w:rFonts w:asciiTheme="minorHAnsi" w:hAnsiTheme="minorHAnsi" w:cs="Calibri"/>
          <w:bCs/>
          <w:i/>
          <w:sz w:val="18"/>
          <w:szCs w:val="18"/>
        </w:rPr>
        <w:t>20</w:t>
      </w:r>
      <w:r>
        <w:rPr>
          <w:rFonts w:asciiTheme="minorHAnsi" w:hAnsiTheme="minorHAnsi" w:cs="Calibri"/>
          <w:bCs/>
          <w:i/>
          <w:sz w:val="18"/>
          <w:szCs w:val="18"/>
          <w:lang w:val="id-ID"/>
        </w:rPr>
        <w:t>-20</w:t>
      </w:r>
      <w:r>
        <w:rPr>
          <w:rFonts w:asciiTheme="minorHAnsi" w:hAnsiTheme="minorHAnsi" w:cs="Calibri"/>
          <w:bCs/>
          <w:i/>
          <w:sz w:val="18"/>
          <w:szCs w:val="18"/>
        </w:rPr>
        <w:t>21</w:t>
      </w:r>
    </w:p>
    <w:p>
      <w:pPr>
        <w:spacing w:after="0" w:line="360" w:lineRule="auto"/>
        <w:ind w:left="284" w:firstLine="567"/>
        <w:jc w:val="both"/>
        <w:rPr>
          <w:sz w:val="20"/>
          <w:szCs w:val="20"/>
        </w:rPr>
      </w:pPr>
      <w:r>
        <w:rPr>
          <w:sz w:val="20"/>
          <w:szCs w:val="20"/>
        </w:rPr>
        <w:t xml:space="preserve">Sebagaimana uraian pada subbab 4.5 mengenai ketimpangan pendidikan tertinggi yang ditamatkan oleh penduduk Palangka Raya dengan penduduk di 13 kabupaten lain di Kalimantan Tengah, kondisi serupa juga terlihat pada rata-rata lama sekolahnya. Penduduk umur 15 tahun ke atas di </w:t>
      </w:r>
      <w:r>
        <w:rPr>
          <w:sz w:val="20"/>
          <w:szCs w:val="20"/>
        </w:rPr>
        <w:lastRenderedPageBreak/>
        <w:t>Palangka Raya rata-rata menghabiskan 11,56 tahun (laki-laki) dan 11,52 tahun (perempuan) untuk menempuh sekolah. Sedangkan rata-rata lama sekolah di 13 kabupaten lain seluruhnya tak lebih dari 9 tahun. Sementara itu, apabila ditinjau menurut jenis kelamin, hanya Gunung Mas yang rata-rata lama sekolah penduduk perempuannya lebih tinggi daripada laki-laki. Hal ini menunjukkan di sebagian besar kabupaten/kota di Provinsi Kalimantan Tengah masih ada gap antara kualitas pendidikan yang dimiliki oleh kaum laki-laki dengan perempuan.</w:t>
      </w:r>
    </w:p>
    <w:p>
      <w:pPr>
        <w:spacing w:after="0" w:line="360" w:lineRule="auto"/>
        <w:ind w:left="284" w:firstLine="567"/>
        <w:jc w:val="both"/>
        <w:rPr>
          <w:sz w:val="20"/>
          <w:szCs w:val="20"/>
        </w:rPr>
      </w:pPr>
    </w:p>
    <w:p>
      <w:pPr>
        <w:pStyle w:val="Heading2"/>
        <w:numPr>
          <w:ilvl w:val="0"/>
          <w:numId w:val="0"/>
        </w:numPr>
        <w:ind w:left="709" w:hanging="425"/>
        <w:jc w:val="both"/>
        <w:rPr>
          <w:rFonts w:asciiTheme="minorHAnsi" w:hAnsiTheme="minorHAnsi" w:cstheme="minorHAnsi"/>
          <w:sz w:val="20"/>
          <w:szCs w:val="20"/>
          <w:lang w:val="en-US"/>
        </w:rPr>
      </w:pPr>
      <w:bookmarkStart w:id="68" w:name="_Toc118715988"/>
      <w:r>
        <w:rPr>
          <w:rFonts w:asciiTheme="minorHAnsi" w:hAnsiTheme="minorHAnsi" w:cstheme="minorHAnsi"/>
          <w:sz w:val="20"/>
          <w:szCs w:val="20"/>
          <w:lang w:val="en-US"/>
        </w:rPr>
        <w:t>4.7</w:t>
      </w:r>
      <w:r>
        <w:rPr>
          <w:rFonts w:asciiTheme="minorHAnsi" w:hAnsiTheme="minorHAnsi" w:cstheme="minorHAnsi"/>
          <w:sz w:val="20"/>
          <w:szCs w:val="20"/>
          <w:lang w:val="en-US"/>
        </w:rPr>
        <w:tab/>
        <w:t>Akses Terhadap Teknologi Komunikasi dan Informasi</w:t>
      </w:r>
      <w:bookmarkEnd w:id="68"/>
    </w:p>
    <w:p>
      <w:pPr>
        <w:spacing w:after="0" w:line="360" w:lineRule="auto"/>
        <w:ind w:left="284" w:firstLine="567"/>
        <w:jc w:val="both"/>
        <w:rPr>
          <w:rFonts w:cs="Arial"/>
          <w:sz w:val="20"/>
          <w:szCs w:val="20"/>
        </w:rPr>
      </w:pPr>
      <w:r>
        <w:rPr>
          <w:rFonts w:cs="Arial"/>
          <w:sz w:val="20"/>
          <w:szCs w:val="20"/>
        </w:rPr>
        <w:t>Literasi saat ini tidak hanya terbatas pada membaca dan menulis saja. Seiring dengan kemajuan teknologi, teknologi informasi dan komunikasi kini telah menjadi suatu kebutuhan tersendiri sebagai sarana sosialisasi, penambah wawasan pengetahuan, serta gaya hidup masyarakat modern. Oleh karena itu, literasi TIK juga perlu ditumbuhkan.</w:t>
      </w:r>
    </w:p>
    <w:p>
      <w:pPr>
        <w:spacing w:after="0" w:line="360" w:lineRule="auto"/>
        <w:ind w:left="284" w:firstLine="567"/>
        <w:jc w:val="both"/>
        <w:rPr>
          <w:rFonts w:cs="Arial"/>
          <w:sz w:val="20"/>
          <w:szCs w:val="20"/>
        </w:rPr>
      </w:pPr>
      <w:r>
        <w:rPr>
          <w:rFonts w:cs="Arial"/>
          <w:sz w:val="20"/>
          <w:szCs w:val="20"/>
        </w:rPr>
        <w:t>Tidak dapat dipungkiri bahwa penggunaan telepon, utamanya telepon seluler (</w:t>
      </w:r>
      <w:r>
        <w:rPr>
          <w:rFonts w:cs="Arial"/>
          <w:i/>
          <w:sz w:val="20"/>
          <w:szCs w:val="20"/>
        </w:rPr>
        <w:t>handphone</w:t>
      </w:r>
      <w:r>
        <w:rPr>
          <w:rFonts w:cs="Arial"/>
          <w:sz w:val="20"/>
          <w:szCs w:val="20"/>
        </w:rPr>
        <w:t xml:space="preserve">), telah menjadi tren di kalangan masyarakat tanpa memandang status sosial. Selain itu, kepemilikan/penguasaan </w:t>
      </w:r>
      <w:r>
        <w:rPr>
          <w:rFonts w:cs="Arial"/>
          <w:i/>
          <w:sz w:val="20"/>
          <w:szCs w:val="20"/>
        </w:rPr>
        <w:t>handphone</w:t>
      </w:r>
      <w:r>
        <w:rPr>
          <w:rFonts w:cs="Arial"/>
          <w:sz w:val="20"/>
          <w:szCs w:val="20"/>
        </w:rPr>
        <w:t xml:space="preserve"> juga menjadi salah satu tolok ukur aksesibilitas suatu wilayah. Sedangkan akses terhadap informasi tanpa batas melalui internet juga sudah mulai menyentuh segala lapisan masyarakat. Dengan menggunakan internet, masyarakat dapat menjelajah berbagai hal sesuai keinginan atau kebutuhannya. Oleh karenanya, akses terhadap </w:t>
      </w:r>
      <w:r>
        <w:rPr>
          <w:rFonts w:cs="Arial"/>
          <w:i/>
          <w:sz w:val="20"/>
          <w:szCs w:val="20"/>
        </w:rPr>
        <w:t>handphone</w:t>
      </w:r>
      <w:r>
        <w:rPr>
          <w:rFonts w:cs="Arial"/>
          <w:sz w:val="20"/>
          <w:szCs w:val="20"/>
        </w:rPr>
        <w:t xml:space="preserve"> dan internet digunakan sebagai salah satu tolok ukur sederhana guna mengklasifikasikan masyarakat apakah sudah melek teknologi atau belum. Dengan kemampuan </w:t>
      </w:r>
      <w:r>
        <w:rPr>
          <w:rFonts w:cs="Arial"/>
          <w:sz w:val="20"/>
          <w:szCs w:val="20"/>
        </w:rPr>
        <w:lastRenderedPageBreak/>
        <w:t xml:space="preserve">literasi TIK yang baik pada suatu masyarakat, diharapkan mampu menumbuhkan masyarakat informasi yang memiliki kecakapan dalam pemanfaatan TIK untuk kesejahteraan hidupnya.  </w:t>
      </w:r>
    </w:p>
    <w:p>
      <w:pPr>
        <w:tabs>
          <w:tab w:val="left" w:pos="1260"/>
        </w:tabs>
        <w:ind w:left="1260" w:hanging="990"/>
        <w:jc w:val="both"/>
        <w:rPr>
          <w:rFonts w:cs="Arial"/>
          <w:b/>
          <w:bCs/>
          <w:sz w:val="20"/>
          <w:szCs w:val="20"/>
        </w:rPr>
      </w:pPr>
      <w:bookmarkStart w:id="69" w:name="_Toc117519533"/>
      <w:r>
        <w:rPr>
          <w:b/>
          <w:bCs/>
          <w:sz w:val="20"/>
          <w:szCs w:val="20"/>
        </w:rPr>
        <w:t xml:space="preserve">Tabel 4. </w:t>
      </w:r>
      <w:r>
        <w:rPr>
          <w:b/>
          <w:bCs/>
          <w:sz w:val="20"/>
          <w:szCs w:val="20"/>
        </w:rPr>
        <w:fldChar w:fldCharType="begin"/>
      </w:r>
      <w:r>
        <w:rPr>
          <w:b/>
          <w:bCs/>
          <w:sz w:val="20"/>
          <w:szCs w:val="20"/>
        </w:rPr>
        <w:instrText xml:space="preserve"> SEQ Tabel_4. \* ARABIC </w:instrText>
      </w:r>
      <w:r>
        <w:rPr>
          <w:b/>
          <w:bCs/>
          <w:sz w:val="20"/>
          <w:szCs w:val="20"/>
        </w:rPr>
        <w:fldChar w:fldCharType="separate"/>
      </w:r>
      <w:r>
        <w:rPr>
          <w:b/>
          <w:bCs/>
          <w:noProof/>
          <w:sz w:val="20"/>
          <w:szCs w:val="20"/>
        </w:rPr>
        <w:t>14</w:t>
      </w:r>
      <w:r>
        <w:rPr>
          <w:b/>
          <w:bCs/>
          <w:sz w:val="20"/>
          <w:szCs w:val="20"/>
        </w:rPr>
        <w:fldChar w:fldCharType="end"/>
      </w:r>
      <w:r>
        <w:rPr>
          <w:b/>
          <w:bCs/>
          <w:sz w:val="20"/>
          <w:szCs w:val="20"/>
        </w:rPr>
        <w:tab/>
      </w:r>
      <w:r>
        <w:rPr>
          <w:rFonts w:cs="Arial"/>
          <w:b/>
          <w:bCs/>
          <w:sz w:val="20"/>
          <w:szCs w:val="20"/>
        </w:rPr>
        <w:t>Persentase Penduduk Umur 5 Tahun ke Atas yang Menguasai/Memiliki Telepon Seluler (HP) Dalam 3 Bulan Terakhir Menurut Kabupaten/Kota dan Jenis Kelamin, 2021</w:t>
      </w:r>
      <w:bookmarkEnd w:id="69"/>
    </w:p>
    <w:tbl>
      <w:tblPr>
        <w:tblW w:w="5953"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61"/>
        <w:gridCol w:w="1416"/>
        <w:gridCol w:w="1487"/>
        <w:gridCol w:w="1489"/>
      </w:tblGrid>
      <w:tr>
        <w:trPr>
          <w:cantSplit/>
          <w:trHeight w:val="283"/>
        </w:trPr>
        <w:tc>
          <w:tcPr>
            <w:tcW w:w="1561" w:type="dxa"/>
            <w:vMerge w:val="restart"/>
            <w:shd w:val="clear" w:color="auto" w:fill="38003D"/>
            <w:vAlign w:val="center"/>
            <w:hideMark/>
          </w:tcPr>
          <w:p>
            <w:pPr>
              <w:spacing w:after="0" w:line="240" w:lineRule="auto"/>
              <w:jc w:val="center"/>
              <w:rPr>
                <w:rFonts w:cstheme="minorHAnsi"/>
                <w:b/>
                <w:bCs/>
                <w:snapToGrid w:val="0"/>
                <w:sz w:val="18"/>
                <w:szCs w:val="18"/>
              </w:rPr>
            </w:pPr>
            <w:r>
              <w:rPr>
                <w:rFonts w:cstheme="minorHAnsi"/>
                <w:b/>
                <w:bCs/>
                <w:snapToGrid w:val="0"/>
                <w:sz w:val="18"/>
                <w:szCs w:val="18"/>
              </w:rPr>
              <w:t>Kabupaten/Kota</w:t>
            </w:r>
          </w:p>
        </w:tc>
        <w:tc>
          <w:tcPr>
            <w:tcW w:w="4392" w:type="dxa"/>
            <w:gridSpan w:val="3"/>
            <w:shd w:val="clear" w:color="auto" w:fill="38003D"/>
            <w:vAlign w:val="center"/>
          </w:tcPr>
          <w:p>
            <w:pPr>
              <w:spacing w:after="0" w:line="240" w:lineRule="auto"/>
              <w:jc w:val="center"/>
              <w:rPr>
                <w:rFonts w:cstheme="minorHAnsi"/>
                <w:b/>
                <w:bCs/>
                <w:snapToGrid w:val="0"/>
                <w:sz w:val="18"/>
                <w:szCs w:val="18"/>
              </w:rPr>
            </w:pPr>
            <w:r>
              <w:rPr>
                <w:rFonts w:cstheme="minorHAnsi"/>
                <w:b/>
                <w:bCs/>
                <w:snapToGrid w:val="0"/>
                <w:sz w:val="18"/>
                <w:szCs w:val="18"/>
              </w:rPr>
              <w:t>2021</w:t>
            </w:r>
          </w:p>
        </w:tc>
      </w:tr>
      <w:tr>
        <w:trPr>
          <w:cantSplit/>
          <w:trHeight w:val="283"/>
        </w:trPr>
        <w:tc>
          <w:tcPr>
            <w:tcW w:w="1561" w:type="dxa"/>
            <w:vMerge/>
            <w:shd w:val="clear" w:color="auto" w:fill="38003D"/>
            <w:vAlign w:val="center"/>
            <w:hideMark/>
          </w:tcPr>
          <w:p>
            <w:pPr>
              <w:spacing w:after="0" w:line="240" w:lineRule="auto"/>
              <w:rPr>
                <w:rFonts w:cstheme="minorHAnsi"/>
                <w:b/>
                <w:bCs/>
                <w:snapToGrid w:val="0"/>
                <w:sz w:val="18"/>
                <w:szCs w:val="18"/>
              </w:rPr>
            </w:pPr>
          </w:p>
        </w:tc>
        <w:tc>
          <w:tcPr>
            <w:tcW w:w="1416" w:type="dxa"/>
            <w:shd w:val="clear" w:color="auto" w:fill="38003D"/>
            <w:vAlign w:val="center"/>
            <w:hideMark/>
          </w:tcPr>
          <w:p>
            <w:pPr>
              <w:spacing w:after="0" w:line="240" w:lineRule="auto"/>
              <w:jc w:val="center"/>
              <w:rPr>
                <w:rFonts w:cstheme="minorHAnsi"/>
                <w:b/>
                <w:bCs/>
                <w:snapToGrid w:val="0"/>
                <w:sz w:val="18"/>
                <w:szCs w:val="18"/>
              </w:rPr>
            </w:pPr>
            <w:r>
              <w:rPr>
                <w:rFonts w:cstheme="minorHAnsi"/>
                <w:b/>
                <w:bCs/>
                <w:snapToGrid w:val="0"/>
                <w:sz w:val="18"/>
                <w:szCs w:val="18"/>
              </w:rPr>
              <w:t>Laki-laki</w:t>
            </w:r>
          </w:p>
        </w:tc>
        <w:tc>
          <w:tcPr>
            <w:tcW w:w="1487" w:type="dxa"/>
            <w:shd w:val="clear" w:color="auto" w:fill="38003D"/>
            <w:vAlign w:val="center"/>
            <w:hideMark/>
          </w:tcPr>
          <w:p>
            <w:pPr>
              <w:spacing w:after="0" w:line="240" w:lineRule="auto"/>
              <w:jc w:val="center"/>
              <w:rPr>
                <w:rFonts w:cstheme="minorHAnsi"/>
                <w:b/>
                <w:bCs/>
                <w:snapToGrid w:val="0"/>
                <w:sz w:val="18"/>
                <w:szCs w:val="18"/>
              </w:rPr>
            </w:pPr>
            <w:r>
              <w:rPr>
                <w:rFonts w:cstheme="minorHAnsi"/>
                <w:b/>
                <w:bCs/>
                <w:snapToGrid w:val="0"/>
                <w:sz w:val="18"/>
                <w:szCs w:val="18"/>
              </w:rPr>
              <w:t>Perempuan</w:t>
            </w:r>
          </w:p>
        </w:tc>
        <w:tc>
          <w:tcPr>
            <w:tcW w:w="1489" w:type="dxa"/>
            <w:shd w:val="clear" w:color="auto" w:fill="38003D"/>
            <w:vAlign w:val="center"/>
            <w:hideMark/>
          </w:tcPr>
          <w:p>
            <w:pPr>
              <w:spacing w:after="0" w:line="240" w:lineRule="auto"/>
              <w:jc w:val="center"/>
              <w:rPr>
                <w:rFonts w:cstheme="minorHAnsi"/>
                <w:b/>
                <w:bCs/>
                <w:snapToGrid w:val="0"/>
                <w:sz w:val="18"/>
                <w:szCs w:val="18"/>
              </w:rPr>
            </w:pPr>
            <w:r>
              <w:rPr>
                <w:rFonts w:cstheme="minorHAnsi"/>
                <w:b/>
                <w:bCs/>
                <w:snapToGrid w:val="0"/>
                <w:sz w:val="18"/>
                <w:szCs w:val="18"/>
              </w:rPr>
              <w:t>Laki-laki + Perempuan</w:t>
            </w:r>
          </w:p>
        </w:tc>
      </w:tr>
      <w:tr>
        <w:trPr>
          <w:cantSplit/>
          <w:trHeight w:val="227"/>
        </w:trPr>
        <w:tc>
          <w:tcPr>
            <w:tcW w:w="1561" w:type="dxa"/>
            <w:tcBorders>
              <w:bottom w:val="single" w:sz="4" w:space="0" w:color="auto"/>
            </w:tcBorders>
            <w:shd w:val="clear" w:color="auto" w:fill="38003D"/>
            <w:vAlign w:val="center"/>
            <w:hideMark/>
          </w:tcPr>
          <w:p>
            <w:pPr>
              <w:spacing w:after="0" w:line="240" w:lineRule="auto"/>
              <w:jc w:val="center"/>
              <w:rPr>
                <w:rFonts w:cstheme="minorHAnsi"/>
                <w:snapToGrid w:val="0"/>
                <w:sz w:val="18"/>
                <w:szCs w:val="18"/>
              </w:rPr>
            </w:pPr>
            <w:r>
              <w:rPr>
                <w:rFonts w:cstheme="minorHAnsi"/>
                <w:snapToGrid w:val="0"/>
                <w:sz w:val="18"/>
                <w:szCs w:val="18"/>
              </w:rPr>
              <w:t>(1)</w:t>
            </w:r>
          </w:p>
        </w:tc>
        <w:tc>
          <w:tcPr>
            <w:tcW w:w="1416" w:type="dxa"/>
            <w:tcBorders>
              <w:bottom w:val="single" w:sz="4" w:space="0" w:color="auto"/>
            </w:tcBorders>
            <w:shd w:val="clear" w:color="auto" w:fill="38003D"/>
            <w:vAlign w:val="center"/>
            <w:hideMark/>
          </w:tcPr>
          <w:p>
            <w:pPr>
              <w:spacing w:after="0" w:line="240" w:lineRule="auto"/>
              <w:jc w:val="center"/>
              <w:rPr>
                <w:rFonts w:cstheme="minorHAnsi"/>
                <w:snapToGrid w:val="0"/>
                <w:sz w:val="18"/>
                <w:szCs w:val="18"/>
              </w:rPr>
            </w:pPr>
            <w:r>
              <w:rPr>
                <w:rFonts w:cstheme="minorHAnsi"/>
                <w:snapToGrid w:val="0"/>
                <w:sz w:val="18"/>
                <w:szCs w:val="18"/>
              </w:rPr>
              <w:t>(2)</w:t>
            </w:r>
          </w:p>
        </w:tc>
        <w:tc>
          <w:tcPr>
            <w:tcW w:w="1487" w:type="dxa"/>
            <w:tcBorders>
              <w:bottom w:val="single" w:sz="4" w:space="0" w:color="auto"/>
            </w:tcBorders>
            <w:shd w:val="clear" w:color="auto" w:fill="38003D"/>
            <w:vAlign w:val="center"/>
            <w:hideMark/>
          </w:tcPr>
          <w:p>
            <w:pPr>
              <w:spacing w:after="0" w:line="240" w:lineRule="auto"/>
              <w:jc w:val="center"/>
              <w:rPr>
                <w:rFonts w:cstheme="minorHAnsi"/>
                <w:snapToGrid w:val="0"/>
                <w:sz w:val="18"/>
                <w:szCs w:val="18"/>
              </w:rPr>
            </w:pPr>
            <w:r>
              <w:rPr>
                <w:rFonts w:cstheme="minorHAnsi"/>
                <w:snapToGrid w:val="0"/>
                <w:sz w:val="18"/>
                <w:szCs w:val="18"/>
              </w:rPr>
              <w:t>(3)</w:t>
            </w:r>
          </w:p>
        </w:tc>
        <w:tc>
          <w:tcPr>
            <w:tcW w:w="1489" w:type="dxa"/>
            <w:tcBorders>
              <w:bottom w:val="single" w:sz="4" w:space="0" w:color="auto"/>
            </w:tcBorders>
            <w:shd w:val="clear" w:color="auto" w:fill="38003D"/>
            <w:vAlign w:val="center"/>
            <w:hideMark/>
          </w:tcPr>
          <w:p>
            <w:pPr>
              <w:spacing w:after="0" w:line="240" w:lineRule="auto"/>
              <w:jc w:val="center"/>
              <w:rPr>
                <w:rFonts w:cstheme="minorHAnsi"/>
                <w:snapToGrid w:val="0"/>
                <w:sz w:val="18"/>
                <w:szCs w:val="18"/>
              </w:rPr>
            </w:pPr>
            <w:r>
              <w:rPr>
                <w:rFonts w:cstheme="minorHAnsi"/>
                <w:snapToGrid w:val="0"/>
                <w:sz w:val="18"/>
                <w:szCs w:val="18"/>
              </w:rPr>
              <w:t>(4)</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Kotawaringin Barat</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79,45</w:t>
            </w:r>
          </w:p>
        </w:tc>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69,55</w:t>
            </w:r>
          </w:p>
        </w:tc>
        <w:tc>
          <w:tcPr>
            <w:tcW w:w="14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74,75</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Kotawaringin Timur</w:t>
            </w:r>
          </w:p>
        </w:tc>
        <w:tc>
          <w:tcPr>
            <w:tcW w:w="141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75,32</w:t>
            </w:r>
          </w:p>
        </w:tc>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63,61</w:t>
            </w:r>
          </w:p>
        </w:tc>
        <w:tc>
          <w:tcPr>
            <w:tcW w:w="14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69,78</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Kapuas</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73,70</w:t>
            </w:r>
          </w:p>
        </w:tc>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52,05</w:t>
            </w:r>
          </w:p>
        </w:tc>
        <w:tc>
          <w:tcPr>
            <w:tcW w:w="14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62,99</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Barito Selatan</w:t>
            </w:r>
          </w:p>
        </w:tc>
        <w:tc>
          <w:tcPr>
            <w:tcW w:w="141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78,12</w:t>
            </w:r>
          </w:p>
        </w:tc>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68,00</w:t>
            </w:r>
          </w:p>
        </w:tc>
        <w:tc>
          <w:tcPr>
            <w:tcW w:w="14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73,20</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Barito Utara</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75,30</w:t>
            </w:r>
          </w:p>
        </w:tc>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70,20</w:t>
            </w:r>
          </w:p>
        </w:tc>
        <w:tc>
          <w:tcPr>
            <w:tcW w:w="14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72,86</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Sukamara</w:t>
            </w:r>
          </w:p>
        </w:tc>
        <w:tc>
          <w:tcPr>
            <w:tcW w:w="141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77,19</w:t>
            </w:r>
          </w:p>
        </w:tc>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69,65</w:t>
            </w:r>
          </w:p>
        </w:tc>
        <w:tc>
          <w:tcPr>
            <w:tcW w:w="14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73,64</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Lamandau</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77,78</w:t>
            </w:r>
          </w:p>
        </w:tc>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69,97</w:t>
            </w:r>
          </w:p>
        </w:tc>
        <w:tc>
          <w:tcPr>
            <w:tcW w:w="14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74,14</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Seruyan</w:t>
            </w:r>
          </w:p>
        </w:tc>
        <w:tc>
          <w:tcPr>
            <w:tcW w:w="141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75,47</w:t>
            </w:r>
          </w:p>
        </w:tc>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66,50</w:t>
            </w:r>
          </w:p>
        </w:tc>
        <w:tc>
          <w:tcPr>
            <w:tcW w:w="14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71,30</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Katingan</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74,25</w:t>
            </w:r>
          </w:p>
        </w:tc>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62,55</w:t>
            </w:r>
          </w:p>
        </w:tc>
        <w:tc>
          <w:tcPr>
            <w:tcW w:w="14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68,64</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Pulang Pisau</w:t>
            </w:r>
          </w:p>
        </w:tc>
        <w:tc>
          <w:tcPr>
            <w:tcW w:w="141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76,97</w:t>
            </w:r>
          </w:p>
        </w:tc>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58,60</w:t>
            </w:r>
          </w:p>
        </w:tc>
        <w:tc>
          <w:tcPr>
            <w:tcW w:w="14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68,14</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Gunung Mas</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75,47</w:t>
            </w:r>
          </w:p>
        </w:tc>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65,65</w:t>
            </w:r>
          </w:p>
        </w:tc>
        <w:tc>
          <w:tcPr>
            <w:tcW w:w="14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70,82</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Barito Timur</w:t>
            </w:r>
          </w:p>
        </w:tc>
        <w:tc>
          <w:tcPr>
            <w:tcW w:w="141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76,74</w:t>
            </w:r>
          </w:p>
        </w:tc>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64,71</w:t>
            </w:r>
          </w:p>
        </w:tc>
        <w:tc>
          <w:tcPr>
            <w:tcW w:w="14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70,81</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Murung Raya</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68,88</w:t>
            </w:r>
          </w:p>
        </w:tc>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57,75</w:t>
            </w:r>
          </w:p>
        </w:tc>
        <w:tc>
          <w:tcPr>
            <w:tcW w:w="14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63,52</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Palangka Raya</w:t>
            </w:r>
          </w:p>
        </w:tc>
        <w:tc>
          <w:tcPr>
            <w:tcW w:w="141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89,27</w:t>
            </w:r>
          </w:p>
        </w:tc>
        <w:tc>
          <w:tcPr>
            <w:tcW w:w="14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84,46</w:t>
            </w:r>
          </w:p>
        </w:tc>
        <w:tc>
          <w:tcPr>
            <w:tcW w:w="14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86,87</w:t>
            </w:r>
          </w:p>
        </w:tc>
      </w:tr>
      <w:tr>
        <w:trPr>
          <w:cantSplit/>
          <w:trHeight w:val="283"/>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rFonts w:cstheme="minorHAnsi"/>
                <w:b/>
                <w:sz w:val="18"/>
                <w:szCs w:val="18"/>
              </w:rPr>
            </w:pPr>
            <w:r>
              <w:rPr>
                <w:rFonts w:cstheme="minorHAnsi"/>
                <w:b/>
                <w:sz w:val="18"/>
                <w:szCs w:val="18"/>
              </w:rPr>
              <w:t>Kalimantan Tengah</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color w:val="000000"/>
                <w:sz w:val="18"/>
                <w:szCs w:val="18"/>
              </w:rPr>
            </w:pPr>
            <w:r>
              <w:rPr>
                <w:rFonts w:cstheme="minorHAnsi"/>
                <w:b/>
                <w:bCs/>
                <w:color w:val="000000"/>
                <w:sz w:val="18"/>
                <w:szCs w:val="18"/>
              </w:rPr>
              <w:t>77,12</w:t>
            </w:r>
          </w:p>
        </w:tc>
        <w:tc>
          <w:tcPr>
            <w:tcW w:w="148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color w:val="000000"/>
                <w:sz w:val="18"/>
                <w:szCs w:val="18"/>
              </w:rPr>
            </w:pPr>
            <w:r>
              <w:rPr>
                <w:rFonts w:cstheme="minorHAnsi"/>
                <w:b/>
                <w:bCs/>
                <w:color w:val="000000"/>
                <w:sz w:val="18"/>
                <w:szCs w:val="18"/>
              </w:rPr>
              <w:t>65,69</w:t>
            </w:r>
          </w:p>
        </w:tc>
        <w:tc>
          <w:tcPr>
            <w:tcW w:w="14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color w:val="000000"/>
                <w:sz w:val="18"/>
                <w:szCs w:val="18"/>
              </w:rPr>
            </w:pPr>
            <w:r>
              <w:rPr>
                <w:rFonts w:cstheme="minorHAnsi"/>
                <w:b/>
                <w:bCs/>
                <w:color w:val="000000"/>
                <w:sz w:val="18"/>
                <w:szCs w:val="18"/>
              </w:rPr>
              <w:t>71,62</w:t>
            </w:r>
          </w:p>
        </w:tc>
      </w:tr>
    </w:tbl>
    <w:p>
      <w:pPr>
        <w:spacing w:line="240" w:lineRule="auto"/>
        <w:ind w:left="284" w:right="5"/>
        <w:jc w:val="both"/>
        <w:rPr>
          <w:rFonts w:cs="Calibri"/>
          <w:bCs/>
          <w:i/>
          <w:sz w:val="16"/>
          <w:szCs w:val="16"/>
        </w:rPr>
      </w:pPr>
      <w:r>
        <w:rPr>
          <w:rFonts w:cs="Calibri"/>
          <w:bCs/>
          <w:i/>
          <w:sz w:val="16"/>
          <w:szCs w:val="16"/>
        </w:rPr>
        <w:t>Sumber: BPS, Susenas 2021</w:t>
      </w:r>
    </w:p>
    <w:p>
      <w:pPr>
        <w:spacing w:line="360" w:lineRule="auto"/>
        <w:ind w:left="284" w:firstLine="567"/>
        <w:jc w:val="both"/>
        <w:rPr>
          <w:rFonts w:cs="Calibri"/>
          <w:bCs/>
          <w:sz w:val="20"/>
          <w:szCs w:val="20"/>
        </w:rPr>
      </w:pPr>
      <w:r>
        <w:rPr>
          <w:rFonts w:cs="Calibri"/>
          <w:bCs/>
          <w:sz w:val="20"/>
          <w:szCs w:val="20"/>
        </w:rPr>
        <w:t xml:space="preserve">Pada Tabel 4.14 terlihat bahwa pada tahun 2021, sebanyak 71,62 persen penduduk umur 5 tahun ke atas di Kalimantan Tengah memiliki/menguasai HP. Apabila dilihat menurut jenis kelaminnya, </w:t>
      </w:r>
      <w:r>
        <w:rPr>
          <w:rFonts w:cs="Calibri"/>
          <w:bCs/>
          <w:sz w:val="20"/>
          <w:szCs w:val="20"/>
        </w:rPr>
        <w:lastRenderedPageBreak/>
        <w:t>penduduk laki-laki lebih banyak yang menguasai/memiliki HP dibandingkan penduduk perempuan. Hal ini mengindikasikan bahwa perempuan memiliki akses terhadap sarana komunikasi yang lebih kecil daripada laki-laki. Masih sering dijumpai, terutama di daerah perdesaan, ibu rumah tangga yang tidak menguasai HP.</w:t>
      </w: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spacing w:line="360" w:lineRule="auto"/>
        <w:ind w:left="284" w:firstLine="567"/>
        <w:jc w:val="both"/>
        <w:rPr>
          <w:rFonts w:cs="Calibri"/>
          <w:bCs/>
          <w:sz w:val="20"/>
          <w:szCs w:val="20"/>
        </w:rPr>
      </w:pPr>
    </w:p>
    <w:p>
      <w:pPr>
        <w:pStyle w:val="Caption"/>
        <w:ind w:left="1276" w:hanging="992"/>
        <w:jc w:val="both"/>
        <w:rPr>
          <w:rFonts w:cs="Arial"/>
          <w:b/>
          <w:bCs/>
          <w:i w:val="0"/>
          <w:iCs w:val="0"/>
          <w:color w:val="auto"/>
          <w:sz w:val="20"/>
          <w:szCs w:val="20"/>
        </w:rPr>
      </w:pPr>
      <w:bookmarkStart w:id="70" w:name="_Toc117519534"/>
      <w:r>
        <w:rPr>
          <w:b/>
          <w:bCs/>
          <w:i w:val="0"/>
          <w:iCs w:val="0"/>
          <w:color w:val="auto"/>
        </w:rPr>
        <w:t xml:space="preserve">Tabel 4. </w:t>
      </w:r>
      <w:r>
        <w:rPr>
          <w:b/>
          <w:bCs/>
          <w:i w:val="0"/>
          <w:iCs w:val="0"/>
          <w:color w:val="auto"/>
        </w:rPr>
        <w:fldChar w:fldCharType="begin"/>
      </w:r>
      <w:r>
        <w:rPr>
          <w:b/>
          <w:bCs/>
          <w:i w:val="0"/>
          <w:iCs w:val="0"/>
          <w:color w:val="auto"/>
        </w:rPr>
        <w:instrText xml:space="preserve"> SEQ Tabel_4. \* ARABIC </w:instrText>
      </w:r>
      <w:r>
        <w:rPr>
          <w:b/>
          <w:bCs/>
          <w:i w:val="0"/>
          <w:iCs w:val="0"/>
          <w:color w:val="auto"/>
        </w:rPr>
        <w:fldChar w:fldCharType="separate"/>
      </w:r>
      <w:r>
        <w:rPr>
          <w:b/>
          <w:bCs/>
          <w:i w:val="0"/>
          <w:iCs w:val="0"/>
          <w:noProof/>
          <w:color w:val="auto"/>
        </w:rPr>
        <w:t>15</w:t>
      </w:r>
      <w:r>
        <w:rPr>
          <w:b/>
          <w:bCs/>
          <w:i w:val="0"/>
          <w:iCs w:val="0"/>
          <w:color w:val="auto"/>
        </w:rPr>
        <w:fldChar w:fldCharType="end"/>
      </w:r>
      <w:r>
        <w:rPr>
          <w:b/>
          <w:bCs/>
          <w:i w:val="0"/>
          <w:iCs w:val="0"/>
          <w:color w:val="auto"/>
        </w:rPr>
        <w:tab/>
      </w:r>
      <w:r>
        <w:rPr>
          <w:rFonts w:cs="Arial"/>
          <w:b/>
          <w:bCs/>
          <w:i w:val="0"/>
          <w:iCs w:val="0"/>
          <w:color w:val="auto"/>
          <w:sz w:val="20"/>
          <w:szCs w:val="20"/>
        </w:rPr>
        <w:t>Persentase Penduduk Umur 5 Tahun ke Atas yang</w:t>
      </w:r>
      <w:r>
        <w:rPr>
          <w:rFonts w:cs="Arial"/>
          <w:b/>
          <w:bCs/>
          <w:i w:val="0"/>
          <w:iCs w:val="0"/>
          <w:color w:val="auto"/>
          <w:sz w:val="20"/>
          <w:szCs w:val="20"/>
          <w:lang w:val="en-US"/>
        </w:rPr>
        <w:t xml:space="preserve"> </w:t>
      </w:r>
      <w:r>
        <w:rPr>
          <w:rFonts w:cs="Arial"/>
          <w:b/>
          <w:bCs/>
          <w:i w:val="0"/>
          <w:iCs w:val="0"/>
          <w:color w:val="auto"/>
          <w:sz w:val="20"/>
          <w:szCs w:val="20"/>
        </w:rPr>
        <w:t>Menggunakan</w:t>
      </w:r>
      <w:r>
        <w:rPr>
          <w:rFonts w:cs="Arial"/>
          <w:b/>
          <w:bCs/>
          <w:i w:val="0"/>
          <w:iCs w:val="0"/>
          <w:color w:val="auto"/>
          <w:sz w:val="20"/>
          <w:szCs w:val="20"/>
          <w:lang w:val="en-US"/>
        </w:rPr>
        <w:t xml:space="preserve"> </w:t>
      </w:r>
      <w:r>
        <w:rPr>
          <w:rFonts w:cs="Arial"/>
          <w:b/>
          <w:bCs/>
          <w:i w:val="0"/>
          <w:iCs w:val="0"/>
          <w:color w:val="auto"/>
          <w:sz w:val="20"/>
          <w:szCs w:val="20"/>
        </w:rPr>
        <w:t>Komputer (PC/Desktop, Laptop/Notebook, Tablet) Dalam 3 Bulan Terakhir Menurut Kabupaten/Kota dan Jenis Kelamin, 2021</w:t>
      </w:r>
      <w:bookmarkEnd w:id="70"/>
    </w:p>
    <w:tbl>
      <w:tblPr>
        <w:tblW w:w="6094"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61"/>
        <w:gridCol w:w="1557"/>
        <w:gridCol w:w="1559"/>
        <w:gridCol w:w="1417"/>
      </w:tblGrid>
      <w:tr>
        <w:trPr>
          <w:cantSplit/>
          <w:trHeight w:val="397"/>
        </w:trPr>
        <w:tc>
          <w:tcPr>
            <w:tcW w:w="1561" w:type="dxa"/>
            <w:vMerge w:val="restart"/>
            <w:shd w:val="clear" w:color="auto" w:fill="38003D"/>
            <w:vAlign w:val="center"/>
            <w:hideMark/>
          </w:tcPr>
          <w:p>
            <w:pPr>
              <w:spacing w:after="0" w:line="240" w:lineRule="auto"/>
              <w:jc w:val="center"/>
              <w:rPr>
                <w:b/>
                <w:bCs/>
                <w:snapToGrid w:val="0"/>
                <w:sz w:val="18"/>
                <w:szCs w:val="18"/>
              </w:rPr>
            </w:pPr>
            <w:r>
              <w:rPr>
                <w:b/>
                <w:bCs/>
                <w:snapToGrid w:val="0"/>
                <w:sz w:val="18"/>
                <w:szCs w:val="18"/>
              </w:rPr>
              <w:t>Kabupaten/Kota</w:t>
            </w:r>
          </w:p>
        </w:tc>
        <w:tc>
          <w:tcPr>
            <w:tcW w:w="4533" w:type="dxa"/>
            <w:gridSpan w:val="3"/>
            <w:shd w:val="clear" w:color="auto" w:fill="38003D"/>
            <w:vAlign w:val="center"/>
            <w:hideMark/>
          </w:tcPr>
          <w:p>
            <w:pPr>
              <w:spacing w:after="0" w:line="240" w:lineRule="auto"/>
              <w:jc w:val="center"/>
              <w:rPr>
                <w:b/>
                <w:bCs/>
                <w:snapToGrid w:val="0"/>
                <w:sz w:val="18"/>
                <w:szCs w:val="18"/>
              </w:rPr>
            </w:pPr>
            <w:r>
              <w:rPr>
                <w:b/>
                <w:bCs/>
                <w:snapToGrid w:val="0"/>
                <w:sz w:val="18"/>
                <w:szCs w:val="18"/>
              </w:rPr>
              <w:t>2021</w:t>
            </w:r>
          </w:p>
        </w:tc>
      </w:tr>
      <w:tr>
        <w:trPr>
          <w:cantSplit/>
          <w:trHeight w:val="397"/>
        </w:trPr>
        <w:tc>
          <w:tcPr>
            <w:tcW w:w="1561" w:type="dxa"/>
            <w:vMerge/>
            <w:shd w:val="clear" w:color="auto" w:fill="38003D"/>
            <w:vAlign w:val="center"/>
            <w:hideMark/>
          </w:tcPr>
          <w:p>
            <w:pPr>
              <w:spacing w:after="0" w:line="240" w:lineRule="auto"/>
              <w:rPr>
                <w:b/>
                <w:bCs/>
                <w:snapToGrid w:val="0"/>
                <w:sz w:val="18"/>
                <w:szCs w:val="18"/>
              </w:rPr>
            </w:pPr>
          </w:p>
        </w:tc>
        <w:tc>
          <w:tcPr>
            <w:tcW w:w="1557" w:type="dxa"/>
            <w:shd w:val="clear" w:color="auto" w:fill="38003D"/>
            <w:vAlign w:val="center"/>
            <w:hideMark/>
          </w:tcPr>
          <w:p>
            <w:pPr>
              <w:spacing w:after="0" w:line="240" w:lineRule="auto"/>
              <w:jc w:val="center"/>
              <w:rPr>
                <w:b/>
                <w:bCs/>
                <w:snapToGrid w:val="0"/>
                <w:sz w:val="18"/>
                <w:szCs w:val="18"/>
              </w:rPr>
            </w:pPr>
            <w:r>
              <w:rPr>
                <w:b/>
                <w:bCs/>
                <w:snapToGrid w:val="0"/>
                <w:sz w:val="18"/>
                <w:szCs w:val="18"/>
              </w:rPr>
              <w:t>Laki-laki</w:t>
            </w:r>
          </w:p>
        </w:tc>
        <w:tc>
          <w:tcPr>
            <w:tcW w:w="1559" w:type="dxa"/>
            <w:shd w:val="clear" w:color="auto" w:fill="38003D"/>
            <w:vAlign w:val="center"/>
            <w:hideMark/>
          </w:tcPr>
          <w:p>
            <w:pPr>
              <w:spacing w:after="0" w:line="240" w:lineRule="auto"/>
              <w:jc w:val="center"/>
              <w:rPr>
                <w:b/>
                <w:bCs/>
                <w:snapToGrid w:val="0"/>
                <w:sz w:val="18"/>
                <w:szCs w:val="18"/>
              </w:rPr>
            </w:pPr>
            <w:r>
              <w:rPr>
                <w:b/>
                <w:bCs/>
                <w:snapToGrid w:val="0"/>
                <w:sz w:val="18"/>
                <w:szCs w:val="18"/>
              </w:rPr>
              <w:t>Perempuan</w:t>
            </w:r>
          </w:p>
        </w:tc>
        <w:tc>
          <w:tcPr>
            <w:tcW w:w="1417" w:type="dxa"/>
            <w:shd w:val="clear" w:color="auto" w:fill="38003D"/>
            <w:vAlign w:val="center"/>
            <w:hideMark/>
          </w:tcPr>
          <w:p>
            <w:pPr>
              <w:spacing w:after="0" w:line="240" w:lineRule="auto"/>
              <w:jc w:val="center"/>
              <w:rPr>
                <w:b/>
                <w:bCs/>
                <w:snapToGrid w:val="0"/>
                <w:sz w:val="18"/>
                <w:szCs w:val="18"/>
              </w:rPr>
            </w:pPr>
            <w:r>
              <w:rPr>
                <w:b/>
                <w:bCs/>
                <w:snapToGrid w:val="0"/>
                <w:sz w:val="18"/>
                <w:szCs w:val="18"/>
              </w:rPr>
              <w:t>Laki-laki + Perempuan</w:t>
            </w:r>
          </w:p>
        </w:tc>
      </w:tr>
      <w:tr>
        <w:trPr>
          <w:cantSplit/>
          <w:trHeight w:val="227"/>
        </w:trPr>
        <w:tc>
          <w:tcPr>
            <w:tcW w:w="1561"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(1)</w:t>
            </w:r>
          </w:p>
        </w:tc>
        <w:tc>
          <w:tcPr>
            <w:tcW w:w="1557"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(2)</w:t>
            </w:r>
          </w:p>
        </w:tc>
        <w:tc>
          <w:tcPr>
            <w:tcW w:w="1559"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(3)</w:t>
            </w:r>
          </w:p>
        </w:tc>
        <w:tc>
          <w:tcPr>
            <w:tcW w:w="1417"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(4)</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12,06</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13,91</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12,94</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9,10</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7,31</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8,25</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4,60</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5,52</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5,05</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11,19</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9,22</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10,23</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10,73</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8,82</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9,82</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9,89</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10,15</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10,01</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13,36</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12,64</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13,03</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8,66</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6,48</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7,65</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7,15</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7,63</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7,38</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6,96</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8,00</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7,46</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7,58</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6,98</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7,29</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11,26</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11,85</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11,55</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6,07</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6,46</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6,26</w:t>
            </w:r>
          </w:p>
        </w:tc>
      </w:tr>
      <w:tr>
        <w:trPr>
          <w:cantSplit/>
          <w:trHeight w:val="340"/>
        </w:trPr>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15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28,97</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29,25</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jc w:val="center"/>
              <w:rPr>
                <w:rFonts w:cstheme="minorHAnsi"/>
                <w:color w:val="000000"/>
                <w:sz w:val="18"/>
                <w:szCs w:val="18"/>
              </w:rPr>
            </w:pPr>
            <w:r>
              <w:rPr>
                <w:rFonts w:cstheme="minorHAnsi"/>
                <w:color w:val="000000"/>
                <w:sz w:val="18"/>
                <w:szCs w:val="18"/>
              </w:rPr>
              <w:t>29,11</w:t>
            </w:r>
          </w:p>
        </w:tc>
      </w:tr>
      <w:tr>
        <w:trPr>
          <w:cantSplit/>
          <w:trHeight w:val="397"/>
        </w:trPr>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color w:val="000000"/>
                <w:sz w:val="18"/>
                <w:szCs w:val="18"/>
              </w:rPr>
            </w:pPr>
            <w:r>
              <w:rPr>
                <w:rFonts w:cstheme="minorHAnsi"/>
                <w:b/>
                <w:bCs/>
                <w:color w:val="000000"/>
                <w:sz w:val="18"/>
                <w:szCs w:val="18"/>
              </w:rPr>
              <w:t>10,90</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color w:val="000000"/>
                <w:sz w:val="18"/>
                <w:szCs w:val="18"/>
              </w:rPr>
            </w:pPr>
            <w:r>
              <w:rPr>
                <w:rFonts w:cstheme="minorHAnsi"/>
                <w:b/>
                <w:bCs/>
                <w:color w:val="000000"/>
                <w:sz w:val="18"/>
                <w:szCs w:val="18"/>
              </w:rPr>
              <w:t>10,81</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jc w:val="center"/>
              <w:rPr>
                <w:rFonts w:cstheme="minorHAnsi"/>
                <w:b/>
                <w:bCs/>
                <w:color w:val="000000"/>
                <w:sz w:val="18"/>
                <w:szCs w:val="18"/>
              </w:rPr>
            </w:pPr>
            <w:r>
              <w:rPr>
                <w:rFonts w:cstheme="minorHAnsi"/>
                <w:b/>
                <w:bCs/>
                <w:color w:val="000000"/>
                <w:sz w:val="18"/>
                <w:szCs w:val="18"/>
              </w:rPr>
              <w:t>10,86</w:t>
            </w:r>
          </w:p>
        </w:tc>
      </w:tr>
    </w:tbl>
    <w:p>
      <w:pPr>
        <w:spacing w:line="360" w:lineRule="auto"/>
        <w:ind w:left="284" w:right="5"/>
        <w:jc w:val="both"/>
        <w:rPr>
          <w:rFonts w:cs="Calibri"/>
          <w:bCs/>
          <w:i/>
          <w:sz w:val="18"/>
          <w:szCs w:val="18"/>
        </w:rPr>
      </w:pPr>
      <w:r>
        <w:rPr>
          <w:rFonts w:cs="Calibri"/>
          <w:bCs/>
          <w:i/>
          <w:sz w:val="18"/>
          <w:szCs w:val="18"/>
        </w:rPr>
        <w:t>Sumber: BPS, Susenas 2021</w:t>
      </w:r>
    </w:p>
    <w:p>
      <w:pPr>
        <w:spacing w:after="0" w:line="360" w:lineRule="auto"/>
        <w:ind w:left="284" w:firstLine="567"/>
        <w:jc w:val="both"/>
        <w:rPr>
          <w:rFonts w:cs="Calibri"/>
          <w:bCs/>
          <w:sz w:val="20"/>
          <w:szCs w:val="20"/>
        </w:rPr>
      </w:pPr>
      <w:r>
        <w:rPr>
          <w:sz w:val="20"/>
          <w:szCs w:val="20"/>
        </w:rPr>
        <w:lastRenderedPageBreak/>
        <w:t>Era globalisasi yang terjadi dewasa ini, berbagai informasi yang ada di seluruh dunia dapat diakses dengan cepat dan instan melalui berbagai media massa elektronik, seperti komputer dan internet, sehingga dapat meningkatkan pengetahuan, wawasan dan cakrawala berpikir seseorang. Namun perangkat komputer dan situs internet masih belum sepenuhnya familiar di sebagian kalangan masyarakat, terutama di daerah perdesaan. Hal ini ditunjukkan dengan masih kecilnya persentase rumah tangga yang menggunakan komputer/laptop dan penduduk yang mengakses internet.</w:t>
      </w:r>
    </w:p>
    <w:p>
      <w:pPr>
        <w:spacing w:after="0" w:line="360" w:lineRule="auto"/>
        <w:ind w:left="284" w:firstLine="567"/>
        <w:jc w:val="both"/>
        <w:rPr>
          <w:rFonts w:cs="Calibri"/>
          <w:bCs/>
          <w:sz w:val="20"/>
          <w:szCs w:val="20"/>
        </w:rPr>
      </w:pPr>
      <w:r>
        <w:rPr>
          <w:rFonts w:cs="Calibri"/>
          <w:bCs/>
          <w:sz w:val="20"/>
          <w:szCs w:val="20"/>
        </w:rPr>
        <w:t>Pada Tabel 4.15 terlihat hanya sekitar 10,86 persen penduduk usia 5 tahun ke atas di Kalimantan Tengah yang pernah menggunakan komputer/laptop dalam 3 bulan terakhir sejak Susenas Maret 2021. Kaum laki-laki masih lebih banyak dibandingkan perempuan dalam hal menggunakan komputer/laptop. Pola ini juga terjadi di hampir seluruh kabupaten/kota di Kalimantan Tengah. Kota Palangka Raya memiliki persentase tertinggi penduduk usia lima tahun ke atas yang mengakses komputer dibandingkan kabupaten-kabupaten lain. Tabel 4.15 menginformasikan bahwa masih ada ketertinggalan kaum perempuan terhadap laki-laki dalam hal mengakses komputer/laptop. Selain itu, kesenjangan aksesibilitas terhadap komputer/laptop masyarakat Palangka Raya dengan penduduk kabupaten lain masih sangat tinggi.</w:t>
      </w:r>
    </w:p>
    <w:p>
      <w:pPr>
        <w:spacing w:after="0" w:line="360" w:lineRule="auto"/>
        <w:ind w:left="284" w:firstLine="567"/>
        <w:jc w:val="both"/>
        <w:rPr>
          <w:rFonts w:cs="Calibri"/>
          <w:bCs/>
          <w:sz w:val="20"/>
          <w:szCs w:val="20"/>
        </w:rPr>
      </w:pPr>
      <w:r>
        <w:rPr>
          <w:rFonts w:cs="Calibri"/>
          <w:bCs/>
          <w:sz w:val="20"/>
          <w:szCs w:val="20"/>
        </w:rPr>
        <w:t xml:space="preserve">Tabel 4.16 menunjukkan bahwa sekitar enam dari sepuluh penduduk usia 5 tahun ke atas di Kalimantan Tengah pernah mengakses internet dalam 3 bulan terakhir sejak Susenas Maret 2021. Meskipun sudah mengalami kenaikan dibandingkan tahun sebelumnya, angka ini masih terbilang cukup kecil mengingat kemajuan teknologi yang semakin pesat </w:t>
      </w:r>
      <w:r>
        <w:rPr>
          <w:rFonts w:cs="Calibri"/>
          <w:bCs/>
          <w:sz w:val="20"/>
          <w:szCs w:val="20"/>
        </w:rPr>
        <w:lastRenderedPageBreak/>
        <w:t>dewasa ini. Masih banyak lapisan masyarakat di Kalimantan Tengah yang belum menikmati sarana internet, padahal berbagai hal dan informasi bisa didapat oleh masyarakat dengan mudah dan cepat dari internet. Dengan masih minimnya penduduk Kalimantan Tengah yang mengakses internet, akan berpengaruh terhadap lambannya penambahan pengetahuan di masyarakat. Lebih jauh, hal ini dapat menghambat upaya masyarakat untuk mengembangkan diri dan kesejahteraan hidupnya.</w:t>
      </w:r>
    </w:p>
    <w:p>
      <w:pPr>
        <w:spacing w:after="0" w:line="360" w:lineRule="auto"/>
        <w:ind w:left="284" w:firstLine="567"/>
        <w:jc w:val="both"/>
        <w:rPr>
          <w:rFonts w:cs="Calibri"/>
          <w:bCs/>
          <w:sz w:val="20"/>
          <w:szCs w:val="20"/>
        </w:rPr>
      </w:pPr>
      <w:r>
        <w:rPr>
          <w:rFonts w:cs="Calibri"/>
          <w:bCs/>
          <w:sz w:val="20"/>
          <w:szCs w:val="20"/>
        </w:rPr>
        <w:t>Penduduk laki-laki masih lebih banyak yang mengakses internet daripada perempuan. Sedangkan apabila dilihat sebaran antar wilayah, penduduk Palangka Raya jauh meninggalkan kabupaten lain dalam aktivitas mengakses internet.</w:t>
      </w: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spacing w:after="0" w:line="360" w:lineRule="auto"/>
        <w:ind w:left="284" w:firstLine="567"/>
        <w:jc w:val="both"/>
        <w:rPr>
          <w:rFonts w:cs="Calibri"/>
          <w:bCs/>
          <w:sz w:val="20"/>
          <w:szCs w:val="20"/>
        </w:rPr>
      </w:pPr>
    </w:p>
    <w:p>
      <w:pPr>
        <w:pStyle w:val="Caption"/>
        <w:ind w:left="1276" w:hanging="992"/>
        <w:jc w:val="both"/>
        <w:rPr>
          <w:rFonts w:cs="Arial"/>
          <w:b/>
          <w:bCs/>
          <w:i w:val="0"/>
          <w:iCs w:val="0"/>
          <w:color w:val="auto"/>
          <w:sz w:val="20"/>
          <w:szCs w:val="20"/>
        </w:rPr>
      </w:pPr>
      <w:bookmarkStart w:id="71" w:name="_Toc117519535"/>
      <w:r>
        <w:rPr>
          <w:b/>
          <w:bCs/>
          <w:i w:val="0"/>
          <w:iCs w:val="0"/>
          <w:color w:val="auto"/>
        </w:rPr>
        <w:t xml:space="preserve">Tabel 4. </w:t>
      </w:r>
      <w:r>
        <w:rPr>
          <w:b/>
          <w:bCs/>
          <w:i w:val="0"/>
          <w:iCs w:val="0"/>
          <w:color w:val="auto"/>
        </w:rPr>
        <w:fldChar w:fldCharType="begin"/>
      </w:r>
      <w:r>
        <w:rPr>
          <w:b/>
          <w:bCs/>
          <w:i w:val="0"/>
          <w:iCs w:val="0"/>
          <w:color w:val="auto"/>
        </w:rPr>
        <w:instrText xml:space="preserve"> SEQ Tabel_4. \* ARABIC </w:instrText>
      </w:r>
      <w:r>
        <w:rPr>
          <w:b/>
          <w:bCs/>
          <w:i w:val="0"/>
          <w:iCs w:val="0"/>
          <w:color w:val="auto"/>
        </w:rPr>
        <w:fldChar w:fldCharType="separate"/>
      </w:r>
      <w:r>
        <w:rPr>
          <w:b/>
          <w:bCs/>
          <w:i w:val="0"/>
          <w:iCs w:val="0"/>
          <w:noProof/>
          <w:color w:val="auto"/>
        </w:rPr>
        <w:t>16</w:t>
      </w:r>
      <w:r>
        <w:rPr>
          <w:b/>
          <w:bCs/>
          <w:i w:val="0"/>
          <w:iCs w:val="0"/>
          <w:color w:val="auto"/>
        </w:rPr>
        <w:fldChar w:fldCharType="end"/>
      </w:r>
      <w:r>
        <w:rPr>
          <w:b/>
          <w:bCs/>
          <w:i w:val="0"/>
          <w:iCs w:val="0"/>
          <w:color w:val="auto"/>
        </w:rPr>
        <w:tab/>
      </w:r>
      <w:r>
        <w:rPr>
          <w:rFonts w:cs="Arial"/>
          <w:b/>
          <w:bCs/>
          <w:i w:val="0"/>
          <w:iCs w:val="0"/>
          <w:color w:val="auto"/>
          <w:sz w:val="20"/>
          <w:szCs w:val="20"/>
        </w:rPr>
        <w:t>Persentase Penduduk Umur 5 Tahun ke Atas yang Pernah Mengakses Internet (termasuk Facebook, Twitter, BBM, Whatsapp) Dalam 3 Bulan Terakhir Menurut Kabupaten/Kota dan Jenis Kelamin, 2021</w:t>
      </w:r>
      <w:bookmarkEnd w:id="71"/>
    </w:p>
    <w:tbl>
      <w:tblPr>
        <w:tblW w:w="6113"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701"/>
        <w:gridCol w:w="1699"/>
        <w:gridCol w:w="1561"/>
        <w:gridCol w:w="1152"/>
      </w:tblGrid>
      <w:tr>
        <w:trPr>
          <w:cantSplit/>
          <w:trHeight w:val="397"/>
        </w:trPr>
        <w:tc>
          <w:tcPr>
            <w:tcW w:w="1701" w:type="dxa"/>
            <w:vMerge w:val="restart"/>
            <w:shd w:val="clear" w:color="auto" w:fill="38003D"/>
            <w:vAlign w:val="center"/>
            <w:hideMark/>
          </w:tcPr>
          <w:p>
            <w:pPr>
              <w:spacing w:after="0" w:line="240" w:lineRule="auto"/>
              <w:jc w:val="center"/>
              <w:rPr>
                <w:b/>
                <w:bCs/>
                <w:snapToGrid w:val="0"/>
                <w:sz w:val="18"/>
                <w:szCs w:val="18"/>
              </w:rPr>
            </w:pPr>
            <w:r>
              <w:rPr>
                <w:b/>
                <w:bCs/>
                <w:snapToGrid w:val="0"/>
                <w:sz w:val="18"/>
                <w:szCs w:val="18"/>
              </w:rPr>
              <w:t>Kabupaten/Kota</w:t>
            </w:r>
          </w:p>
        </w:tc>
        <w:tc>
          <w:tcPr>
            <w:tcW w:w="4412" w:type="dxa"/>
            <w:gridSpan w:val="3"/>
            <w:shd w:val="clear" w:color="auto" w:fill="38003D"/>
            <w:vAlign w:val="center"/>
            <w:hideMark/>
          </w:tcPr>
          <w:p>
            <w:pPr>
              <w:spacing w:after="0" w:line="240" w:lineRule="auto"/>
              <w:jc w:val="center"/>
              <w:rPr>
                <w:b/>
                <w:bCs/>
                <w:snapToGrid w:val="0"/>
                <w:sz w:val="18"/>
                <w:szCs w:val="18"/>
              </w:rPr>
            </w:pPr>
            <w:r>
              <w:rPr>
                <w:b/>
                <w:bCs/>
                <w:snapToGrid w:val="0"/>
                <w:sz w:val="18"/>
                <w:szCs w:val="18"/>
              </w:rPr>
              <w:t>2021</w:t>
            </w:r>
          </w:p>
        </w:tc>
      </w:tr>
      <w:tr>
        <w:trPr>
          <w:cantSplit/>
          <w:trHeight w:val="397"/>
        </w:trPr>
        <w:tc>
          <w:tcPr>
            <w:tcW w:w="1701" w:type="dxa"/>
            <w:vMerge/>
            <w:shd w:val="clear" w:color="auto" w:fill="38003D"/>
            <w:vAlign w:val="center"/>
            <w:hideMark/>
          </w:tcPr>
          <w:p>
            <w:pPr>
              <w:spacing w:after="0" w:line="240" w:lineRule="auto"/>
              <w:rPr>
                <w:b/>
                <w:bCs/>
                <w:snapToGrid w:val="0"/>
                <w:sz w:val="18"/>
                <w:szCs w:val="18"/>
              </w:rPr>
            </w:pPr>
          </w:p>
        </w:tc>
        <w:tc>
          <w:tcPr>
            <w:tcW w:w="1699" w:type="dxa"/>
            <w:shd w:val="clear" w:color="auto" w:fill="38003D"/>
            <w:vAlign w:val="center"/>
            <w:hideMark/>
          </w:tcPr>
          <w:p>
            <w:pPr>
              <w:spacing w:after="0" w:line="240" w:lineRule="auto"/>
              <w:jc w:val="center"/>
              <w:rPr>
                <w:b/>
                <w:bCs/>
                <w:snapToGrid w:val="0"/>
                <w:sz w:val="18"/>
                <w:szCs w:val="18"/>
              </w:rPr>
            </w:pPr>
            <w:r>
              <w:rPr>
                <w:b/>
                <w:bCs/>
                <w:snapToGrid w:val="0"/>
                <w:sz w:val="18"/>
                <w:szCs w:val="18"/>
              </w:rPr>
              <w:t>Laki-laki</w:t>
            </w:r>
          </w:p>
        </w:tc>
        <w:tc>
          <w:tcPr>
            <w:tcW w:w="1561" w:type="dxa"/>
            <w:shd w:val="clear" w:color="auto" w:fill="38003D"/>
            <w:vAlign w:val="center"/>
            <w:hideMark/>
          </w:tcPr>
          <w:p>
            <w:pPr>
              <w:spacing w:after="0" w:line="240" w:lineRule="auto"/>
              <w:jc w:val="center"/>
              <w:rPr>
                <w:b/>
                <w:bCs/>
                <w:snapToGrid w:val="0"/>
                <w:sz w:val="18"/>
                <w:szCs w:val="18"/>
              </w:rPr>
            </w:pPr>
            <w:r>
              <w:rPr>
                <w:b/>
                <w:bCs/>
                <w:snapToGrid w:val="0"/>
                <w:sz w:val="18"/>
                <w:szCs w:val="18"/>
              </w:rPr>
              <w:t>Perempuan</w:t>
            </w:r>
          </w:p>
        </w:tc>
        <w:tc>
          <w:tcPr>
            <w:tcW w:w="1152" w:type="dxa"/>
            <w:shd w:val="clear" w:color="auto" w:fill="38003D"/>
            <w:vAlign w:val="center"/>
            <w:hideMark/>
          </w:tcPr>
          <w:p>
            <w:pPr>
              <w:spacing w:after="0" w:line="240" w:lineRule="auto"/>
              <w:jc w:val="center"/>
              <w:rPr>
                <w:b/>
                <w:bCs/>
                <w:snapToGrid w:val="0"/>
                <w:sz w:val="18"/>
                <w:szCs w:val="18"/>
              </w:rPr>
            </w:pPr>
            <w:r>
              <w:rPr>
                <w:b/>
                <w:bCs/>
                <w:snapToGrid w:val="0"/>
                <w:sz w:val="18"/>
                <w:szCs w:val="18"/>
              </w:rPr>
              <w:t>Laki-laki + Perempuan</w:t>
            </w:r>
          </w:p>
        </w:tc>
      </w:tr>
      <w:tr>
        <w:trPr>
          <w:cantSplit/>
          <w:trHeight w:val="227"/>
        </w:trPr>
        <w:tc>
          <w:tcPr>
            <w:tcW w:w="1701"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(1)</w:t>
            </w:r>
          </w:p>
        </w:tc>
        <w:tc>
          <w:tcPr>
            <w:tcW w:w="1699"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(2)</w:t>
            </w:r>
          </w:p>
        </w:tc>
        <w:tc>
          <w:tcPr>
            <w:tcW w:w="1561"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(3)</w:t>
            </w:r>
          </w:p>
        </w:tc>
        <w:tc>
          <w:tcPr>
            <w:tcW w:w="1152" w:type="dxa"/>
            <w:tcBorders>
              <w:bottom w:val="single" w:sz="4" w:space="0" w:color="auto"/>
            </w:tcBorders>
            <w:shd w:val="clear" w:color="auto" w:fill="38003D"/>
            <w:vAlign w:val="center"/>
            <w:hideMark/>
          </w:tcPr>
          <w:p>
            <w:pPr>
              <w:spacing w:after="0" w:line="240" w:lineRule="auto"/>
              <w:jc w:val="center"/>
              <w:rPr>
                <w:snapToGrid w:val="0"/>
                <w:sz w:val="18"/>
                <w:szCs w:val="18"/>
              </w:rPr>
            </w:pPr>
            <w:r>
              <w:rPr>
                <w:snapToGrid w:val="0"/>
                <w:sz w:val="18"/>
                <w:szCs w:val="18"/>
              </w:rPr>
              <w:t>(4)</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Kotawaringin Barat</w:t>
            </w:r>
          </w:p>
        </w:tc>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74,73</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71,95</w:t>
            </w:r>
          </w:p>
        </w:tc>
        <w:tc>
          <w:tcPr>
            <w:tcW w:w="11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73,41</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Kotawaringin Timur</w:t>
            </w:r>
          </w:p>
        </w:tc>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65,27</w:t>
            </w:r>
          </w:p>
        </w:tc>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55,13</w:t>
            </w:r>
          </w:p>
        </w:tc>
        <w:tc>
          <w:tcPr>
            <w:tcW w:w="11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60,47</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Kapuas</w:t>
            </w:r>
          </w:p>
        </w:tc>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47,64</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38,89</w:t>
            </w:r>
          </w:p>
        </w:tc>
        <w:tc>
          <w:tcPr>
            <w:tcW w:w="11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43,32</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Selatan</w:t>
            </w:r>
          </w:p>
        </w:tc>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60,34</w:t>
            </w:r>
          </w:p>
        </w:tc>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54,72</w:t>
            </w:r>
          </w:p>
        </w:tc>
        <w:tc>
          <w:tcPr>
            <w:tcW w:w="11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57,61</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Barito Utara</w:t>
            </w:r>
          </w:p>
        </w:tc>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60,97</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58,35</w:t>
            </w:r>
          </w:p>
        </w:tc>
        <w:tc>
          <w:tcPr>
            <w:tcW w:w="11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59,71</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Sukamara</w:t>
            </w:r>
          </w:p>
        </w:tc>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62,02</w:t>
            </w:r>
          </w:p>
        </w:tc>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61,52</w:t>
            </w:r>
          </w:p>
        </w:tc>
        <w:tc>
          <w:tcPr>
            <w:tcW w:w="11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61,79</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Lamandau</w:t>
            </w:r>
          </w:p>
        </w:tc>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64,85</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58,37</w:t>
            </w:r>
          </w:p>
        </w:tc>
        <w:tc>
          <w:tcPr>
            <w:tcW w:w="11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61,83</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Seruyan</w:t>
            </w:r>
          </w:p>
        </w:tc>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63,29</w:t>
            </w:r>
          </w:p>
        </w:tc>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56,51</w:t>
            </w:r>
          </w:p>
        </w:tc>
        <w:tc>
          <w:tcPr>
            <w:tcW w:w="11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60,13</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Katingan</w:t>
            </w:r>
          </w:p>
        </w:tc>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47,49</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43,11</w:t>
            </w:r>
          </w:p>
        </w:tc>
        <w:tc>
          <w:tcPr>
            <w:tcW w:w="11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45,39</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Pulang Pisau</w:t>
            </w:r>
          </w:p>
        </w:tc>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60,09</w:t>
            </w:r>
          </w:p>
        </w:tc>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50,18</w:t>
            </w:r>
          </w:p>
        </w:tc>
        <w:tc>
          <w:tcPr>
            <w:tcW w:w="11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55,32</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Gunung Mas</w:t>
            </w:r>
          </w:p>
        </w:tc>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57,20</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50,17</w:t>
            </w:r>
          </w:p>
        </w:tc>
        <w:tc>
          <w:tcPr>
            <w:tcW w:w="11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53,87</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Barito Timur</w:t>
            </w:r>
          </w:p>
        </w:tc>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60,64</w:t>
            </w:r>
          </w:p>
        </w:tc>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53,25</w:t>
            </w:r>
          </w:p>
        </w:tc>
        <w:tc>
          <w:tcPr>
            <w:tcW w:w="11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56,99</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sz w:val="18"/>
                <w:szCs w:val="18"/>
              </w:rPr>
            </w:pPr>
            <w:r>
              <w:rPr>
                <w:sz w:val="18"/>
                <w:szCs w:val="18"/>
              </w:rPr>
              <w:t>Murung Raya</w:t>
            </w:r>
          </w:p>
        </w:tc>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55,05</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48,34</w:t>
            </w:r>
          </w:p>
        </w:tc>
        <w:tc>
          <w:tcPr>
            <w:tcW w:w="11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color w:val="000000"/>
                <w:sz w:val="18"/>
                <w:szCs w:val="18"/>
              </w:rPr>
            </w:pPr>
            <w:r>
              <w:rPr>
                <w:rFonts w:cstheme="minorHAnsi"/>
                <w:color w:val="000000"/>
                <w:sz w:val="18"/>
                <w:szCs w:val="18"/>
              </w:rPr>
              <w:t>51,81</w:t>
            </w:r>
          </w:p>
        </w:tc>
      </w:tr>
      <w:tr>
        <w:trPr>
          <w:cantSplit/>
          <w:trHeight w:val="340"/>
        </w:trPr>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line="240" w:lineRule="auto"/>
              <w:rPr>
                <w:sz w:val="18"/>
                <w:szCs w:val="18"/>
              </w:rPr>
            </w:pPr>
            <w:r>
              <w:rPr>
                <w:sz w:val="18"/>
                <w:szCs w:val="18"/>
              </w:rPr>
              <w:t>Palangka Raya</w:t>
            </w:r>
          </w:p>
        </w:tc>
        <w:tc>
          <w:tcPr>
            <w:tcW w:w="16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84,65</w:t>
            </w:r>
          </w:p>
        </w:tc>
        <w:tc>
          <w:tcPr>
            <w:tcW w:w="15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82,32</w:t>
            </w:r>
          </w:p>
        </w:tc>
        <w:tc>
          <w:tcPr>
            <w:tcW w:w="11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spacing w:after="0" w:line="240" w:lineRule="auto"/>
              <w:jc w:val="center"/>
              <w:rPr>
                <w:rFonts w:cstheme="minorHAnsi"/>
                <w:color w:val="000000"/>
                <w:sz w:val="18"/>
                <w:szCs w:val="18"/>
              </w:rPr>
            </w:pPr>
            <w:r>
              <w:rPr>
                <w:rFonts w:cstheme="minorHAnsi"/>
                <w:color w:val="000000"/>
                <w:sz w:val="18"/>
                <w:szCs w:val="18"/>
              </w:rPr>
              <w:t>83,49</w:t>
            </w:r>
          </w:p>
        </w:tc>
      </w:tr>
      <w:tr>
        <w:trPr>
          <w:cantSplit/>
          <w:trHeight w:val="397"/>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after="0" w:line="240" w:lineRule="auto"/>
              <w:rPr>
                <w:b/>
                <w:sz w:val="18"/>
                <w:szCs w:val="18"/>
              </w:rPr>
            </w:pPr>
            <w:r>
              <w:rPr>
                <w:b/>
                <w:sz w:val="18"/>
                <w:szCs w:val="18"/>
              </w:rPr>
              <w:t>Kalimantan Tengah</w:t>
            </w:r>
          </w:p>
        </w:tc>
        <w:tc>
          <w:tcPr>
            <w:tcW w:w="16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62,98</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56,72</w:t>
            </w:r>
          </w:p>
        </w:tc>
        <w:tc>
          <w:tcPr>
            <w:tcW w:w="11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spacing w:after="0" w:line="240" w:lineRule="auto"/>
              <w:jc w:val="center"/>
              <w:rPr>
                <w:rFonts w:cstheme="minorHAnsi"/>
                <w:b/>
                <w:bCs/>
                <w:color w:val="000000"/>
                <w:sz w:val="18"/>
                <w:szCs w:val="18"/>
              </w:rPr>
            </w:pPr>
            <w:r>
              <w:rPr>
                <w:rFonts w:cstheme="minorHAnsi"/>
                <w:b/>
                <w:bCs/>
                <w:color w:val="000000"/>
                <w:sz w:val="18"/>
                <w:szCs w:val="18"/>
              </w:rPr>
              <w:t>59,97</w:t>
            </w:r>
          </w:p>
        </w:tc>
      </w:tr>
    </w:tbl>
    <w:p>
      <w:pPr>
        <w:spacing w:line="360" w:lineRule="auto"/>
        <w:ind w:left="284" w:right="5"/>
        <w:jc w:val="both"/>
        <w:rPr>
          <w:rFonts w:cs="Calibri"/>
          <w:bCs/>
          <w:i/>
          <w:sz w:val="18"/>
          <w:szCs w:val="18"/>
        </w:rPr>
      </w:pPr>
      <w:r>
        <w:rPr>
          <w:rFonts w:cs="Calibri"/>
          <w:bCs/>
          <w:i/>
          <w:sz w:val="18"/>
          <w:szCs w:val="18"/>
        </w:rPr>
        <w:t>Sumber: BPS, Susenas 2021</w:t>
      </w:r>
    </w:p>
    <w:p/>
    <w:p>
      <w:r>
        <w:rPr>
          <w:noProof/>
          <w:lang w:val="en-ID" w:eastAsia="en-ID"/>
        </w:rPr>
        <w:lastRenderedPageBreak/>
        <mc:AlternateContent>
          <mc:Choice Requires="wps">
            <w:drawing>
              <wp:anchor distT="0" distB="0" distL="114300" distR="114300" simplePos="0" relativeHeight="251750912" behindDoc="0" locked="0" layoutInCell="1" allowOverlap="1">
                <wp:simplePos x="0" y="0"/>
                <wp:positionH relativeFrom="page">
                  <wp:align>left</wp:align>
                </wp:positionH>
                <wp:positionV relativeFrom="paragraph">
                  <wp:posOffset>-905844</wp:posOffset>
                </wp:positionV>
                <wp:extent cx="5319716" cy="866899"/>
                <wp:effectExtent l="0" t="0" r="14605" b="28575"/>
                <wp:wrapNone/>
                <wp:docPr id="111" name="Rectangle 111"/>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FD17A" id="Rectangle 111" o:spid="_x0000_s1026" style="position:absolute;margin-left:0;margin-top:-71.35pt;width:418.9pt;height:68.25pt;z-index:2517509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" fillcolor="white [3212]" strokecolor="white [3212]" strokeweight="2pt">
                <w10:wrap anchorx="page"/>
              </v:rect>
            </w:pict>
          </mc:Fallback>
        </mc:AlternateContent>
      </w:r>
    </w:p>
    <w:p>
      <w:r>
        <w:rPr>
          <w:noProof/>
          <w:lang w:val="en-ID" w:eastAsia="en-ID"/>
        </w:rPr>
        <w:drawing>
          <wp:anchor distT="0" distB="0" distL="114300" distR="114300" simplePos="0" relativeHeight="251709952" behindDoc="0" locked="0" layoutInCell="1" allowOverlap="1">
            <wp:simplePos x="0" y="0"/>
            <wp:positionH relativeFrom="page">
              <wp:posOffset>5426900</wp:posOffset>
            </wp:positionH>
            <wp:positionV relativeFrom="paragraph">
              <wp:posOffset>-919480</wp:posOffset>
            </wp:positionV>
            <wp:extent cx="5237480" cy="7421245"/>
            <wp:effectExtent l="0" t="0" r="1270" b="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7480" cy="7421245"/>
                    </a:xfrm>
                    <a:prstGeom prst="rect">
                      <a:avLst/>
                    </a:prstGeom>
                  </pic:spPr>
                </pic:pic>
              </a:graphicData>
            </a:graphic>
            <wp14:sizeRelH relativeFrom="margin">
              <wp14:pctWidth>0</wp14:pctWidth>
            </wp14:sizeRelH>
            <wp14:sizeRelV relativeFrom="margin">
              <wp14:pctHeight>0</wp14:pctHeight>
            </wp14:sizeRelV>
          </wp:anchor>
        </w:drawing>
      </w:r>
    </w:p>
    <w:p/>
    <w:p/>
    <w:p/>
    <w:p/>
    <w:p/>
    <w:p/>
    <w:p/>
    <w:p/>
    <w:p/>
    <w:p/>
    <w:p/>
    <w:p/>
    <w:p/>
    <w:p/>
    <w:p/>
    <w:p>
      <w:r>
        <w:rPr>
          <w:noProof/>
          <w:lang w:val="en-ID" w:eastAsia="en-ID"/>
        </w:rPr>
        <mc:AlternateContent>
          <mc:Choice Requires="wps">
            <w:drawing>
              <wp:anchor distT="0" distB="0" distL="114300" distR="114300" simplePos="0" relativeHeight="251757056" behindDoc="0" locked="0" layoutInCell="1" allowOverlap="1">
                <wp:simplePos x="0" y="0"/>
                <wp:positionH relativeFrom="page">
                  <wp:align>left</wp:align>
                </wp:positionH>
                <wp:positionV relativeFrom="paragraph">
                  <wp:posOffset>224790</wp:posOffset>
                </wp:positionV>
                <wp:extent cx="5319716" cy="866899"/>
                <wp:effectExtent l="0" t="0" r="14605" b="28575"/>
                <wp:wrapNone/>
                <wp:docPr id="114" name="Rectangle 114"/>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E0606" id="Rectangle 114" o:spid="_x0000_s1026" style="position:absolute;margin-left:0;margin-top:17.7pt;width:418.9pt;height:68.25pt;z-index:25175705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" fillcolor="white [3212]" strokecolor="white [3212]" strokeweight="2pt">
                <w10:wrap anchorx="page"/>
              </v:rect>
            </w:pict>
          </mc:Fallback>
        </mc:AlternateContent>
      </w:r>
    </w:p>
    <w:p>
      <w:r>
        <w:rPr>
          <w:b/>
          <w:bCs/>
          <w:noProof/>
          <w:color w:val="C00000"/>
          <w:lang w:val="en-ID" w:eastAsia="en-ID"/>
        </w:rPr>
        <w:lastRenderedPageBreak/>
        <w:drawing>
          <wp:anchor distT="0" distB="0" distL="114300" distR="114300" simplePos="0" relativeHeight="251710976" behindDoc="0" locked="0" layoutInCell="1" allowOverlap="1">
            <wp:simplePos x="0" y="0"/>
            <wp:positionH relativeFrom="page">
              <wp:align>right</wp:align>
            </wp:positionH>
            <wp:positionV relativeFrom="paragraph">
              <wp:posOffset>-911627</wp:posOffset>
            </wp:positionV>
            <wp:extent cx="5321958" cy="7540831"/>
            <wp:effectExtent l="0" t="0" r="0" b="31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21958" cy="7540831"/>
                    </a:xfrm>
                    <a:prstGeom prst="rect">
                      <a:avLst/>
                    </a:prstGeom>
                  </pic:spPr>
                </pic:pic>
              </a:graphicData>
            </a:graphic>
            <wp14:sizeRelH relativeFrom="margin">
              <wp14:pctWidth>0</wp14:pctWidth>
            </wp14:sizeRelH>
            <wp14:sizeRelV relativeFrom="margin">
              <wp14:pctHeight>0</wp14:pctHeight>
            </wp14:sizeRelV>
          </wp:anchor>
        </w:drawing>
      </w:r>
    </w:p>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r>
        <w:rPr>
          <w:noProof/>
          <w:lang w:val="en-ID" w:eastAsia="en-ID"/>
        </w:rPr>
        <w:lastRenderedPageBreak/>
        <mc:AlternateContent>
          <mc:Choice Requires="wps">
            <w:drawing>
              <wp:anchor distT="0" distB="0" distL="114300" distR="114300" simplePos="0" relativeHeight="251752960" behindDoc="0" locked="0" layoutInCell="1" allowOverlap="1">
                <wp:simplePos x="0" y="0"/>
                <wp:positionH relativeFrom="page">
                  <wp:align>left</wp:align>
                </wp:positionH>
                <wp:positionV relativeFrom="paragraph">
                  <wp:posOffset>-905844</wp:posOffset>
                </wp:positionV>
                <wp:extent cx="5366896" cy="866899"/>
                <wp:effectExtent l="0" t="0" r="24765" b="28575"/>
                <wp:wrapNone/>
                <wp:docPr id="112" name="Rectangle 112"/>
                <wp:cNvGraphicFramePr/>
                <a:graphic xmlns:a="http://schemas.openxmlformats.org/drawingml/2006/main">
                  <a:graphicData uri="http://schemas.microsoft.com/office/word/2010/wordprocessingShape">
                    <wps:wsp>
                      <wps:cNvSpPr/>
                      <wps:spPr>
                        <a:xfrm>
                          <a:off x="0" y="0"/>
                          <a:ext cx="536689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87428D" id="Rectangle 112" o:spid="_x0000_s1026" style="position:absolute;margin-left:0;margin-top:-71.35pt;width:422.6pt;height:68.25pt;z-index:2517529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" fillcolor="white [3212]" strokecolor="white [3212]" strokeweight="2pt">
                <w10:wrap anchorx="page"/>
              </v:rect>
            </w:pict>
          </mc:Fallback>
        </mc:AlternateContent>
      </w: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p>
    <w:p>
      <w:pPr>
        <w:rPr>
          <w:b/>
          <w:bCs/>
          <w:color w:val="C00000"/>
          <w:lang w:val="en-US"/>
        </w:rPr>
      </w:pPr>
      <w:r>
        <w:rPr>
          <w:noProof/>
          <w:lang w:val="en-ID" w:eastAsia="en-ID"/>
        </w:rPr>
        <mc:AlternateContent>
          <mc:Choice Requires="wps">
            <w:drawing>
              <wp:anchor distT="0" distB="0" distL="114300" distR="114300" simplePos="0" relativeHeight="251755008" behindDoc="0" locked="0" layoutInCell="1" allowOverlap="1">
                <wp:simplePos x="0" y="0"/>
                <wp:positionH relativeFrom="page">
                  <wp:align>right</wp:align>
                </wp:positionH>
                <wp:positionV relativeFrom="paragraph">
                  <wp:posOffset>205339</wp:posOffset>
                </wp:positionV>
                <wp:extent cx="5319716" cy="866899"/>
                <wp:effectExtent l="0" t="0" r="14605" b="28575"/>
                <wp:wrapNone/>
                <wp:docPr id="113" name="Rectangle 113"/>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A1198" id="Rectangle 113" o:spid="_x0000_s1026" style="position:absolute;margin-left:367.7pt;margin-top:16.15pt;width:418.9pt;height:68.25pt;z-index:2517550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" fillcolor="white [3212]" strokecolor="white [3212]" strokeweight="2pt">
                <w10:wrap anchorx="page"/>
              </v:rect>
            </w:pict>
          </mc:Fallback>
        </mc:AlternateContent>
      </w:r>
    </w:p>
    <w:p>
      <w:pPr>
        <w:pStyle w:val="Heading1"/>
        <w:spacing w:before="0" w:after="0" w:line="240" w:lineRule="auto"/>
        <w:rPr>
          <w:rFonts w:asciiTheme="minorHAnsi" w:hAnsiTheme="minorHAnsi" w:cstheme="minorHAnsi"/>
          <w:sz w:val="32"/>
          <w:lang w:val="en-US"/>
        </w:rPr>
      </w:pPr>
      <w:bookmarkStart w:id="72" w:name="_Toc118715989"/>
      <w:r>
        <w:rPr>
          <w:rFonts w:asciiTheme="minorHAnsi" w:hAnsiTheme="minorHAnsi" w:cstheme="minorHAnsi"/>
          <w:sz w:val="32"/>
          <w:lang w:val="en-US"/>
        </w:rPr>
        <w:lastRenderedPageBreak/>
        <w:t>BAB V</w:t>
      </w:r>
      <w:bookmarkEnd w:id="72"/>
    </w:p>
    <w:p>
      <w:pPr>
        <w:pStyle w:val="Title"/>
        <w:rPr>
          <w:sz w:val="32"/>
          <w:szCs w:val="32"/>
        </w:rPr>
      </w:pPr>
      <w:r>
        <w:rPr>
          <w:sz w:val="32"/>
          <w:szCs w:val="32"/>
        </w:rPr>
        <w:t>KESEHATAN</w:t>
      </w:r>
    </w:p>
    <w:p>
      <w:pPr>
        <w:pStyle w:val="Title"/>
        <w:rPr>
          <w:sz w:val="20"/>
        </w:rPr>
      </w:pPr>
    </w:p>
    <w:p>
      <w:pPr>
        <w:pStyle w:val="BodyTextIndent"/>
        <w:spacing w:after="0" w:line="360" w:lineRule="auto"/>
        <w:ind w:firstLine="568"/>
        <w:jc w:val="both"/>
        <w:rPr>
          <w:rFonts w:ascii="Calibri" w:hAnsi="Calibri"/>
          <w:sz w:val="20"/>
          <w:szCs w:val="18"/>
        </w:rPr>
      </w:pPr>
      <w:r>
        <w:rPr>
          <w:rFonts w:ascii="Calibri" w:hAnsi="Calibri"/>
          <w:sz w:val="20"/>
          <w:szCs w:val="18"/>
        </w:rPr>
        <w:t>Kesehatan merupakan aspek penting dalam kehidupan manusia. Dengan kondisi fisik yang sehat maka manusia dapat melakukan aktivitas secara optimal. Oleh sebab itu kesehatan menjadi salah satu aspek kesejahteraan dan menjadi salah satu fokus utama pembangunan manusia. Pembangunan di bidang kesehatan bertujuan agar semua lapisan masyarakat memperoleh pelayanan kesehatan secara mudah, murah, dan merata. Dengan adanya upaya tersebut diharapkan akan tercapai derajat kesehatan masyarakat yang baik. Dengan masyarakat yang memiliki tingkat derajat kesehatan tinggi akan lebih berhasil dalam melaksanakan pembangunan. Usaha yang sudah banyak dilakukan oleh pemerintah, antara lain dengan memberikan penyuluhan kesehatan agar keluarga berperilaku hidup sehat, dan meningkatkan penyediaan fasilitas kesehatan seperti rumah sakit, puskesmas, posyandu, dan polindes. Oleh karena itu pembangunan di bidang kesehatan yang sedang digiatkan ini diharapkan dapat berakselerasi secara positif.</w:t>
      </w:r>
    </w:p>
    <w:p>
      <w:pPr>
        <w:pStyle w:val="BodyTextIndent"/>
        <w:spacing w:after="0" w:line="360" w:lineRule="auto"/>
        <w:ind w:firstLine="568"/>
        <w:jc w:val="both"/>
        <w:rPr>
          <w:rFonts w:ascii="Calibri" w:hAnsi="Calibri"/>
          <w:sz w:val="20"/>
          <w:szCs w:val="18"/>
        </w:rPr>
      </w:pPr>
      <w:r>
        <w:rPr>
          <w:rFonts w:ascii="Calibri" w:hAnsi="Calibri"/>
          <w:sz w:val="20"/>
          <w:szCs w:val="18"/>
        </w:rPr>
        <w:t>Upaya kesehatan di Provinsi Kalimantan Tengah sejauh ini telah diarahkan untuk dapat meningkatkan kualitas hidup dan pelayanan kesehatan yang makin terjangkau oleh seluruh lapisan masyarakat. Di samping itu dalam penanganan faktor-faktor tersebut harus dilakukan secara terarah dan terpadu dengan memperhatikan kondisi sosial, ekonomi, dan budaya.</w:t>
      </w:r>
    </w:p>
    <w:p>
      <w:pPr>
        <w:pStyle w:val="BodyTextIndent"/>
        <w:spacing w:after="0" w:line="360" w:lineRule="auto"/>
        <w:ind w:firstLine="568"/>
        <w:jc w:val="both"/>
        <w:rPr>
          <w:rFonts w:ascii="Calibri" w:hAnsi="Calibri"/>
          <w:sz w:val="20"/>
          <w:szCs w:val="20"/>
        </w:rPr>
      </w:pPr>
      <w:r>
        <w:rPr>
          <w:rFonts w:ascii="Calibri" w:hAnsi="Calibri"/>
          <w:sz w:val="20"/>
        </w:rPr>
        <w:lastRenderedPageBreak/>
        <w:t>Kesehatan merupakan salah satu faktor penting dalam upaya peningkatan kualitas Sumber Daya Manusia (SDM). Bidang kesehatan menjadi sangat penting untuk perempuan khusus dalam kaitannya dengan proses reproduksi. Beberapa hal yang menjadikan menjadikan masalah kesehatan perempuan sangat penting adalah resiko kematian bagi ibu yang melahirkan, kurang gizi pada calon ibu dan terbatasnya fasilitas dan pelayanan kesehatan.</w:t>
      </w:r>
    </w:p>
    <w:p>
      <w:pPr>
        <w:pStyle w:val="BodyTextIndent"/>
        <w:spacing w:after="0" w:line="360" w:lineRule="auto"/>
        <w:ind w:firstLine="568"/>
        <w:jc w:val="both"/>
        <w:rPr>
          <w:rFonts w:ascii="Calibri" w:hAnsi="Calibri"/>
          <w:sz w:val="20"/>
        </w:rPr>
      </w:pPr>
      <w:r>
        <w:rPr>
          <w:rFonts w:ascii="Calibri" w:hAnsi="Calibri"/>
          <w:sz w:val="20"/>
        </w:rPr>
        <w:t>Perempuan sebagai penerus keturunan sudah seharusnya mendapatkan perhatian lebih dan diberi peluang yang besar untuk memanfaatkan fasilitas dan pelayanan kesehatan. Pembangunan di bidang kesehatan dengan memberikan prioritas pada kelangsungan hidup, perkembangan dan perlindungan ibu dan anak secara umum akan dapat meningkatkan derajat kesehatan masyarakat secara keseluruhan.</w:t>
      </w:r>
    </w:p>
    <w:p>
      <w:pPr>
        <w:pStyle w:val="BodyTextIndent"/>
        <w:spacing w:after="0" w:line="360" w:lineRule="auto"/>
        <w:ind w:firstLine="568"/>
        <w:jc w:val="both"/>
        <w:rPr>
          <w:rFonts w:ascii="Calibri" w:hAnsi="Calibri"/>
          <w:sz w:val="20"/>
        </w:rPr>
      </w:pPr>
      <w:r>
        <w:rPr>
          <w:rFonts w:ascii="Calibri" w:hAnsi="Calibri"/>
          <w:sz w:val="20"/>
        </w:rPr>
        <w:t>Pembangunan sosial kemasyarakatan termasuk pembangunan di bidang kesehatan seperti upaya perbaikan fasilitas kesehatan, status kesehatan dan gizi, dan indikator penunjang lainnya, merupakan salah satu program utama pemerintah untuk meningkatkan kualitas hidup. Sejauh ini di Provinsi Kalimantan Tengah telah diarahkan untuk dapat meningkatkan kualitas hidup dan pelayanan kesehatan yang makin terjangkau oleh seluruh lapisan masyarakat. Hasil yang telah dicapai akan diuraikan pada bab ini.</w:t>
      </w:r>
    </w:p>
    <w:p>
      <w:pPr>
        <w:rPr>
          <w:lang w:val="en-US"/>
        </w:rPr>
      </w:pPr>
    </w:p>
    <w:p>
      <w:pPr>
        <w:rPr>
          <w:lang w:val="en-US"/>
        </w:rPr>
      </w:pPr>
    </w:p>
    <w:p>
      <w:pPr>
        <w:rPr>
          <w:lang w:val="en-US"/>
        </w:rPr>
      </w:pPr>
    </w:p>
    <w:p>
      <w:pPr>
        <w:pStyle w:val="Heading2"/>
        <w:numPr>
          <w:ilvl w:val="0"/>
          <w:numId w:val="0"/>
        </w:numPr>
        <w:ind w:left="709" w:hanging="425"/>
        <w:jc w:val="both"/>
        <w:rPr>
          <w:rFonts w:asciiTheme="minorHAnsi" w:hAnsiTheme="minorHAnsi" w:cstheme="minorHAnsi"/>
          <w:sz w:val="20"/>
          <w:szCs w:val="20"/>
          <w:lang w:val="en-US"/>
        </w:rPr>
      </w:pPr>
      <w:bookmarkStart w:id="73" w:name="_Toc118715990"/>
      <w:r>
        <w:rPr>
          <w:rFonts w:asciiTheme="minorHAnsi" w:hAnsiTheme="minorHAnsi" w:cstheme="minorHAnsi"/>
          <w:sz w:val="20"/>
          <w:szCs w:val="20"/>
          <w:lang w:val="en-US"/>
        </w:rPr>
        <w:lastRenderedPageBreak/>
        <w:t>5.1</w:t>
      </w:r>
      <w:r>
        <w:rPr>
          <w:rFonts w:asciiTheme="minorHAnsi" w:hAnsiTheme="minorHAnsi" w:cstheme="minorHAnsi"/>
          <w:sz w:val="20"/>
          <w:szCs w:val="20"/>
          <w:lang w:val="en-US"/>
        </w:rPr>
        <w:tab/>
        <w:t>Umur Harapan Hidup</w:t>
      </w:r>
      <w:bookmarkEnd w:id="73"/>
    </w:p>
    <w:p>
      <w:pPr>
        <w:spacing w:after="0" w:line="360" w:lineRule="auto"/>
        <w:ind w:left="284" w:firstLine="567"/>
        <w:jc w:val="both"/>
        <w:rPr>
          <w:sz w:val="20"/>
          <w:szCs w:val="20"/>
        </w:rPr>
      </w:pPr>
      <w:r>
        <w:rPr>
          <w:sz w:val="20"/>
          <w:szCs w:val="20"/>
        </w:rPr>
        <w:t>Salah satu cara untuk menilai tingkat kesehatan secara umum adalah dengan melihat umur harapan hidup saat lahir. Umur Harapan Hidup saat lahir (UHH) merupakan rata-rata perkiraan banyak tahun yang dapat ditempuh oleh seseorang selama hidup. Penghitungan angka harapan hidup melalui pendekatan tak langsung (</w:t>
      </w:r>
      <w:r>
        <w:rPr>
          <w:i/>
          <w:iCs/>
          <w:sz w:val="20"/>
          <w:szCs w:val="20"/>
        </w:rPr>
        <w:t>indirect estimation</w:t>
      </w:r>
      <w:r>
        <w:rPr>
          <w:sz w:val="20"/>
          <w:szCs w:val="20"/>
        </w:rPr>
        <w:t>). Jenis data yang digunakan adalah Anak Lahir Hidup (ALH) dan Anak Masih Hidup (AMH). Paket program Mortpack digunakan untuk menghitung angka harapan hidup berdasarkan input data ALH dan AMH. Selanjutnya, dipilih metode Trussel dengan model West, yang sesuai dengan histori kependudukan dan kondisi Indonesia dan negara-negara Asia Tenggara umumnya (Preston, 2004).</w:t>
      </w:r>
    </w:p>
    <w:p>
      <w:pPr>
        <w:spacing w:after="0" w:line="360" w:lineRule="auto"/>
        <w:ind w:left="284" w:firstLine="567"/>
        <w:jc w:val="both"/>
        <w:rPr>
          <w:sz w:val="20"/>
          <w:szCs w:val="20"/>
        </w:rPr>
      </w:pPr>
      <w:r>
        <w:rPr>
          <w:sz w:val="20"/>
          <w:szCs w:val="20"/>
        </w:rPr>
        <w:t>Indeks harapan hidup dihitung dengan menghitung nilai maksimum dan nilai minimum harapan hidup sesuai standar UNDP, yaitu angka tertinggi sebagai batas atas untuk penghitungan indeks dipakai 85 tahun dan terendah adalah 20 tahun.</w:t>
      </w:r>
    </w:p>
    <w:p>
      <w:pPr>
        <w:spacing w:line="360" w:lineRule="auto"/>
        <w:ind w:left="284" w:firstLine="567"/>
        <w:jc w:val="both"/>
        <w:rPr>
          <w:sz w:val="20"/>
          <w:szCs w:val="20"/>
        </w:rPr>
      </w:pPr>
    </w:p>
    <w:p>
      <w:pPr>
        <w:spacing w:line="360" w:lineRule="auto"/>
        <w:ind w:left="284" w:firstLine="567"/>
        <w:jc w:val="both"/>
        <w:rPr>
          <w:sz w:val="20"/>
          <w:szCs w:val="20"/>
        </w:rPr>
      </w:pPr>
    </w:p>
    <w:p>
      <w:pPr>
        <w:spacing w:line="360" w:lineRule="auto"/>
        <w:ind w:left="284" w:firstLine="567"/>
        <w:jc w:val="both"/>
        <w:rPr>
          <w:sz w:val="20"/>
          <w:szCs w:val="20"/>
        </w:rPr>
      </w:pPr>
    </w:p>
    <w:p>
      <w:pPr>
        <w:spacing w:line="360" w:lineRule="auto"/>
        <w:ind w:left="284" w:firstLine="567"/>
        <w:jc w:val="both"/>
        <w:rPr>
          <w:sz w:val="20"/>
          <w:szCs w:val="20"/>
        </w:rPr>
      </w:pPr>
    </w:p>
    <w:p>
      <w:pPr>
        <w:spacing w:line="360" w:lineRule="auto"/>
        <w:jc w:val="both"/>
        <w:rPr>
          <w:sz w:val="20"/>
          <w:szCs w:val="20"/>
        </w:rPr>
      </w:pPr>
    </w:p>
    <w:p>
      <w:pPr>
        <w:spacing w:line="360" w:lineRule="auto"/>
        <w:ind w:left="284" w:firstLine="567"/>
        <w:jc w:val="both"/>
        <w:rPr>
          <w:sz w:val="20"/>
          <w:szCs w:val="20"/>
        </w:rPr>
      </w:pPr>
    </w:p>
    <w:p>
      <w:pPr>
        <w:pStyle w:val="Caption"/>
        <w:ind w:left="1418" w:hanging="1134"/>
        <w:rPr>
          <w:rFonts w:ascii="Calibri" w:hAnsi="Calibri" w:cs="Arial"/>
          <w:b/>
          <w:bCs/>
          <w:i w:val="0"/>
          <w:iCs w:val="0"/>
          <w:color w:val="000000" w:themeColor="text1"/>
          <w:sz w:val="20"/>
          <w:szCs w:val="20"/>
        </w:rPr>
      </w:pPr>
      <w:bookmarkStart w:id="74" w:name="_Toc117519537"/>
      <w:bookmarkStart w:id="75" w:name="_Toc118716954"/>
      <w:r>
        <w:rPr>
          <w:b/>
          <w:bCs/>
          <w:i w:val="0"/>
          <w:iCs w:val="0"/>
          <w:color w:val="000000" w:themeColor="text1"/>
          <w:sz w:val="20"/>
          <w:szCs w:val="20"/>
        </w:rPr>
        <w:lastRenderedPageBreak/>
        <w:t xml:space="preserve">Tabel 5. </w:t>
      </w:r>
      <w:r>
        <w:rPr>
          <w:b/>
          <w:bCs/>
          <w:i w:val="0"/>
          <w:iCs w:val="0"/>
          <w:color w:val="000000" w:themeColor="text1"/>
          <w:sz w:val="20"/>
          <w:szCs w:val="20"/>
        </w:rPr>
        <w:fldChar w:fldCharType="begin"/>
      </w:r>
      <w:r>
        <w:rPr>
          <w:b/>
          <w:bCs/>
          <w:i w:val="0"/>
          <w:iCs w:val="0"/>
          <w:color w:val="000000" w:themeColor="text1"/>
          <w:sz w:val="20"/>
          <w:szCs w:val="20"/>
        </w:rPr>
        <w:instrText xml:space="preserve"> SEQ Tabel_5. \* ARABIC </w:instrText>
      </w:r>
      <w:r>
        <w:rPr>
          <w:b/>
          <w:bCs/>
          <w:i w:val="0"/>
          <w:iCs w:val="0"/>
          <w:color w:val="000000" w:themeColor="text1"/>
          <w:sz w:val="20"/>
          <w:szCs w:val="20"/>
        </w:rPr>
        <w:fldChar w:fldCharType="separate"/>
      </w:r>
      <w:r>
        <w:rPr>
          <w:b/>
          <w:bCs/>
          <w:i w:val="0"/>
          <w:iCs w:val="0"/>
          <w:noProof/>
          <w:color w:val="000000" w:themeColor="text1"/>
          <w:sz w:val="20"/>
          <w:szCs w:val="20"/>
        </w:rPr>
        <w:t>1</w:t>
      </w:r>
      <w:r>
        <w:rPr>
          <w:b/>
          <w:bCs/>
          <w:i w:val="0"/>
          <w:iCs w:val="0"/>
          <w:color w:val="000000" w:themeColor="text1"/>
          <w:sz w:val="20"/>
          <w:szCs w:val="20"/>
        </w:rPr>
        <w:fldChar w:fldCharType="end"/>
      </w:r>
      <w:r>
        <w:rPr>
          <w:b/>
          <w:bCs/>
          <w:i w:val="0"/>
          <w:iCs w:val="0"/>
          <w:color w:val="000000" w:themeColor="text1"/>
          <w:sz w:val="20"/>
          <w:szCs w:val="20"/>
        </w:rPr>
        <w:tab/>
      </w:r>
      <w:r>
        <w:rPr>
          <w:rFonts w:ascii="Calibri" w:hAnsi="Calibri" w:cs="Arial"/>
          <w:b/>
          <w:bCs/>
          <w:i w:val="0"/>
          <w:iCs w:val="0"/>
          <w:color w:val="000000" w:themeColor="text1"/>
          <w:sz w:val="20"/>
          <w:szCs w:val="20"/>
        </w:rPr>
        <w:t>Umur Harapan Hidup Menurut Kabupaten/Kota dan Jenis Kelamin, 2019-2021</w:t>
      </w:r>
      <w:bookmarkEnd w:id="74"/>
      <w:bookmarkEnd w:id="75"/>
    </w:p>
    <w:tbl>
      <w:tblPr>
        <w:tblW w:w="624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419"/>
        <w:gridCol w:w="804"/>
        <w:gridCol w:w="804"/>
        <w:gridCol w:w="804"/>
        <w:gridCol w:w="803"/>
        <w:gridCol w:w="803"/>
        <w:gridCol w:w="804"/>
      </w:tblGrid>
      <w:tr>
        <w:trPr>
          <w:cantSplit/>
          <w:trHeight w:val="397"/>
          <w:tblHeader/>
        </w:trPr>
        <w:tc>
          <w:tcPr>
            <w:tcW w:w="1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rPr>
            </w:pPr>
            <w:r>
              <w:rPr>
                <w:rFonts w:ascii="Calibri" w:hAnsi="Calibri"/>
                <w:b/>
                <w:bCs/>
                <w:snapToGrid w:val="0"/>
                <w:sz w:val="18"/>
                <w:szCs w:val="18"/>
              </w:rPr>
              <w:t>Kabupaten/Kota</w:t>
            </w:r>
          </w:p>
        </w:tc>
        <w:tc>
          <w:tcPr>
            <w:tcW w:w="24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rPr>
            </w:pPr>
            <w:r>
              <w:rPr>
                <w:rFonts w:ascii="Calibri" w:hAnsi="Calibri"/>
                <w:b/>
                <w:bCs/>
                <w:snapToGrid w:val="0"/>
                <w:sz w:val="18"/>
                <w:szCs w:val="18"/>
              </w:rPr>
              <w:t>Laki-laki</w:t>
            </w:r>
          </w:p>
        </w:tc>
        <w:tc>
          <w:tcPr>
            <w:tcW w:w="241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rPr>
            </w:pPr>
            <w:r>
              <w:rPr>
                <w:rFonts w:ascii="Calibri" w:hAnsi="Calibri"/>
                <w:b/>
                <w:bCs/>
                <w:snapToGrid w:val="0"/>
                <w:sz w:val="18"/>
                <w:szCs w:val="18"/>
              </w:rPr>
              <w:t>Perempuan</w:t>
            </w:r>
          </w:p>
        </w:tc>
      </w:tr>
      <w:tr>
        <w:trPr>
          <w:cantSplit/>
          <w:trHeight w:val="397"/>
          <w:tblHeader/>
        </w:trPr>
        <w:tc>
          <w:tcPr>
            <w:tcW w:w="1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rFonts w:ascii="Calibri" w:hAnsi="Calibri"/>
                <w:b/>
                <w:bCs/>
                <w:snapToGrid w:val="0"/>
                <w:sz w:val="18"/>
                <w:szCs w:val="18"/>
              </w:rPr>
            </w:pP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lang w:val="en-US"/>
              </w:rPr>
            </w:pPr>
            <w:r>
              <w:rPr>
                <w:rFonts w:ascii="Calibri" w:hAnsi="Calibri"/>
                <w:b/>
                <w:bCs/>
                <w:snapToGrid w:val="0"/>
                <w:sz w:val="18"/>
                <w:szCs w:val="18"/>
              </w:rPr>
              <w:t>2019</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rPr>
            </w:pPr>
            <w:r>
              <w:rPr>
                <w:rFonts w:ascii="Calibri" w:hAnsi="Calibri"/>
                <w:b/>
                <w:bCs/>
                <w:snapToGrid w:val="0"/>
                <w:sz w:val="18"/>
                <w:szCs w:val="18"/>
              </w:rPr>
              <w:t>2020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lang w:val="en-US"/>
              </w:rPr>
            </w:pPr>
            <w:r>
              <w:rPr>
                <w:rFonts w:ascii="Calibri" w:hAnsi="Calibri"/>
                <w:b/>
                <w:bCs/>
                <w:snapToGrid w:val="0"/>
                <w:sz w:val="18"/>
                <w:szCs w:val="18"/>
              </w:rPr>
              <w:t>2021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rPr>
            </w:pPr>
            <w:r>
              <w:rPr>
                <w:rFonts w:ascii="Calibri" w:hAnsi="Calibri"/>
                <w:b/>
                <w:bCs/>
                <w:snapToGrid w:val="0"/>
                <w:sz w:val="18"/>
                <w:szCs w:val="18"/>
              </w:rPr>
              <w:t>2019</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rPr>
            </w:pPr>
            <w:r>
              <w:rPr>
                <w:rFonts w:ascii="Calibri" w:hAnsi="Calibri"/>
                <w:b/>
                <w:bCs/>
                <w:snapToGrid w:val="0"/>
                <w:sz w:val="18"/>
                <w:szCs w:val="18"/>
              </w:rPr>
              <w:t>2020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lang w:val="en-US"/>
              </w:rPr>
            </w:pPr>
            <w:r>
              <w:rPr>
                <w:rFonts w:ascii="Calibri" w:hAnsi="Calibri"/>
                <w:b/>
                <w:bCs/>
                <w:snapToGrid w:val="0"/>
                <w:sz w:val="18"/>
                <w:szCs w:val="18"/>
              </w:rPr>
              <w:t>2021</w:t>
            </w:r>
          </w:p>
        </w:tc>
      </w:tr>
      <w:tr>
        <w:trPr>
          <w:cantSplit/>
          <w:trHeight w:val="227"/>
          <w:tblHeader/>
        </w:trPr>
        <w:tc>
          <w:tcPr>
            <w:tcW w:w="141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(1)</w:t>
            </w:r>
          </w:p>
        </w:tc>
        <w:tc>
          <w:tcPr>
            <w:tcW w:w="8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(2)</w:t>
            </w:r>
          </w:p>
        </w:tc>
        <w:tc>
          <w:tcPr>
            <w:tcW w:w="8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(3)</w:t>
            </w:r>
          </w:p>
        </w:tc>
        <w:tc>
          <w:tcPr>
            <w:tcW w:w="8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(4)</w:t>
            </w:r>
          </w:p>
        </w:tc>
        <w:tc>
          <w:tcPr>
            <w:tcW w:w="8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(5)</w:t>
            </w:r>
          </w:p>
        </w:tc>
        <w:tc>
          <w:tcPr>
            <w:tcW w:w="8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(6)</w:t>
            </w:r>
          </w:p>
        </w:tc>
        <w:tc>
          <w:tcPr>
            <w:tcW w:w="8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(7)</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sz w:val="18"/>
                <w:szCs w:val="18"/>
              </w:rPr>
            </w:pPr>
            <w:r>
              <w:rPr>
                <w:rFonts w:ascii="Calibri" w:hAnsi="Calibri"/>
                <w:sz w:val="18"/>
                <w:szCs w:val="18"/>
              </w:rPr>
              <w:t>Kotawaringin Barat</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lang w:val="en-US"/>
              </w:rPr>
            </w:pPr>
            <w:r>
              <w:rPr>
                <w:rFonts w:cstheme="minorHAnsi"/>
                <w:color w:val="000000"/>
                <w:sz w:val="18"/>
                <w:szCs w:val="18"/>
              </w:rPr>
              <w:t>68,48</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68,56</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68,66</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72,41</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72,49</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72,59</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cs="Times New Roman"/>
                <w:sz w:val="18"/>
                <w:szCs w:val="18"/>
              </w:rPr>
            </w:pPr>
            <w:r>
              <w:rPr>
                <w:rFonts w:ascii="Calibri" w:hAnsi="Calibri"/>
                <w:sz w:val="18"/>
                <w:szCs w:val="18"/>
              </w:rPr>
              <w:t>Kotawaringin Timur</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67,77</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67,81</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67,85</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71,72</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71,77</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71,82</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cs="Times New Roman"/>
                <w:sz w:val="18"/>
                <w:szCs w:val="18"/>
              </w:rPr>
            </w:pPr>
            <w:r>
              <w:rPr>
                <w:rFonts w:ascii="Calibri" w:hAnsi="Calibri"/>
                <w:sz w:val="18"/>
                <w:szCs w:val="18"/>
              </w:rPr>
              <w:t>Kapuas</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66,65</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66,71</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66,76</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70,61</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70,66</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70,70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cs="Times New Roman"/>
                <w:sz w:val="18"/>
                <w:szCs w:val="18"/>
              </w:rPr>
            </w:pPr>
            <w:r>
              <w:rPr>
                <w:rFonts w:ascii="Calibri" w:hAnsi="Calibri"/>
                <w:sz w:val="18"/>
                <w:szCs w:val="18"/>
              </w:rPr>
              <w:t>Barito Selatan</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64,97</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65,08</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65,17</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68,89</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68,99</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69,08</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cs="Times New Roman"/>
                <w:sz w:val="18"/>
                <w:szCs w:val="18"/>
              </w:rPr>
            </w:pPr>
            <w:r>
              <w:rPr>
                <w:rFonts w:ascii="Calibri" w:hAnsi="Calibri"/>
                <w:sz w:val="18"/>
                <w:szCs w:val="18"/>
              </w:rPr>
              <w:t>Barito Utara</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69,29</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69,30</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69,31</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73,18</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73,19</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73,19</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cs="Times New Roman"/>
                <w:sz w:val="18"/>
                <w:szCs w:val="18"/>
              </w:rPr>
            </w:pPr>
            <w:r>
              <w:rPr>
                <w:rFonts w:ascii="Calibri" w:hAnsi="Calibri"/>
                <w:sz w:val="18"/>
                <w:szCs w:val="18"/>
              </w:rPr>
              <w:t>Sukamara</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69,49</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69,52</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69,55</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73,38</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73,42</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73,46</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cs="Times New Roman"/>
                <w:sz w:val="18"/>
                <w:szCs w:val="18"/>
              </w:rPr>
            </w:pPr>
            <w:r>
              <w:rPr>
                <w:rFonts w:ascii="Calibri" w:hAnsi="Calibri"/>
                <w:sz w:val="18"/>
                <w:szCs w:val="18"/>
              </w:rPr>
              <w:t>Lamandau</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67,31</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67,32</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67,33</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71,26</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71,28</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71,30</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cs="Times New Roman"/>
                <w:sz w:val="18"/>
                <w:szCs w:val="18"/>
              </w:rPr>
            </w:pPr>
            <w:r>
              <w:rPr>
                <w:rFonts w:ascii="Calibri" w:hAnsi="Calibri"/>
                <w:sz w:val="18"/>
                <w:szCs w:val="18"/>
              </w:rPr>
              <w:t>Seruyan</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67,38</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67,44</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67,46</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71,17</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71,18</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71,18</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cs="Times New Roman"/>
                <w:sz w:val="18"/>
                <w:szCs w:val="18"/>
              </w:rPr>
            </w:pPr>
            <w:r>
              <w:rPr>
                <w:rFonts w:ascii="Calibri" w:hAnsi="Calibri"/>
                <w:sz w:val="18"/>
                <w:szCs w:val="18"/>
              </w:rPr>
              <w:t>Katingan</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63,71</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63,77</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63,84</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67,57</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67,66</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67,76</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cs="Times New Roman"/>
                <w:sz w:val="18"/>
                <w:szCs w:val="18"/>
              </w:rPr>
            </w:pPr>
            <w:r>
              <w:rPr>
                <w:rFonts w:ascii="Calibri" w:hAnsi="Calibri"/>
                <w:sz w:val="18"/>
                <w:szCs w:val="18"/>
              </w:rPr>
              <w:t>Pulang Pisau</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65,94</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66,01</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66,07</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69,91</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69,97</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70,03</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cs="Times New Roman"/>
                <w:sz w:val="18"/>
                <w:szCs w:val="18"/>
              </w:rPr>
            </w:pPr>
            <w:r>
              <w:rPr>
                <w:rFonts w:ascii="Calibri" w:hAnsi="Calibri"/>
                <w:sz w:val="18"/>
                <w:szCs w:val="18"/>
              </w:rPr>
              <w:t>Gunung Mas</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68,29</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68,34</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68,38</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72,23</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72,31</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72,37</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cs="Times New Roman"/>
                <w:sz w:val="18"/>
                <w:szCs w:val="18"/>
              </w:rPr>
            </w:pPr>
            <w:r>
              <w:rPr>
                <w:rFonts w:ascii="Calibri" w:hAnsi="Calibri"/>
                <w:sz w:val="18"/>
                <w:szCs w:val="18"/>
              </w:rPr>
              <w:t>Barito Timur</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66,09</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66,16</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66,24</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70,06</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70,15</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70,25</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cs="Times New Roman"/>
                <w:sz w:val="18"/>
                <w:szCs w:val="18"/>
              </w:rPr>
            </w:pPr>
            <w:r>
              <w:rPr>
                <w:rFonts w:ascii="Calibri" w:hAnsi="Calibri"/>
                <w:sz w:val="18"/>
                <w:szCs w:val="18"/>
              </w:rPr>
              <w:t>Murung Raya</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67,44</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67,46</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67,48</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71,39</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71,43</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sz w:val="18"/>
                <w:szCs w:val="18"/>
              </w:rPr>
            </w:pPr>
            <w:r>
              <w:rPr>
                <w:rFonts w:cstheme="minorHAnsi"/>
                <w:color w:val="000000"/>
                <w:sz w:val="18"/>
                <w:szCs w:val="18"/>
              </w:rPr>
              <w:t>71,46</w:t>
            </w:r>
          </w:p>
        </w:tc>
      </w:tr>
      <w:tr>
        <w:trPr>
          <w:cantSplit/>
          <w:trHeight w:val="340"/>
        </w:trPr>
        <w:tc>
          <w:tcPr>
            <w:tcW w:w="141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cs="Times New Roman"/>
                <w:sz w:val="18"/>
                <w:szCs w:val="18"/>
              </w:rPr>
            </w:pPr>
            <w:r>
              <w:rPr>
                <w:rFonts w:ascii="Calibri" w:hAnsi="Calibri"/>
                <w:sz w:val="18"/>
                <w:szCs w:val="18"/>
              </w:rPr>
              <w:t>Palangka Raya</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71,23</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71,25</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71,26</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75,03</w:t>
            </w:r>
          </w:p>
        </w:tc>
        <w:tc>
          <w:tcPr>
            <w:tcW w:w="8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75,06</w:t>
            </w:r>
          </w:p>
        </w:tc>
        <w:tc>
          <w:tcPr>
            <w:tcW w:w="80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center"/>
              <w:rPr>
                <w:rFonts w:cstheme="minorHAnsi"/>
                <w:sz w:val="18"/>
                <w:szCs w:val="18"/>
              </w:rPr>
            </w:pPr>
            <w:r>
              <w:rPr>
                <w:rFonts w:cstheme="minorHAnsi"/>
                <w:color w:val="000000"/>
                <w:sz w:val="18"/>
                <w:szCs w:val="18"/>
              </w:rPr>
              <w:t>75,09</w:t>
            </w:r>
          </w:p>
        </w:tc>
      </w:tr>
      <w:tr>
        <w:trPr>
          <w:cantSplit/>
          <w:trHeight w:val="397"/>
        </w:trPr>
        <w:tc>
          <w:tcPr>
            <w:tcW w:w="141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cs="Times New Roman"/>
                <w:b/>
                <w:sz w:val="18"/>
                <w:szCs w:val="18"/>
              </w:rPr>
            </w:pPr>
            <w:r>
              <w:rPr>
                <w:rFonts w:ascii="Calibri" w:hAnsi="Calibri"/>
                <w:b/>
                <w:sz w:val="18"/>
                <w:szCs w:val="18"/>
              </w:rPr>
              <w:t>Kalimantan Tengah</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b/>
                <w:sz w:val="18"/>
                <w:szCs w:val="18"/>
              </w:rPr>
            </w:pPr>
            <w:r>
              <w:rPr>
                <w:rFonts w:cstheme="minorHAnsi"/>
                <w:color w:val="000000"/>
                <w:sz w:val="18"/>
                <w:szCs w:val="18"/>
              </w:rPr>
              <w:t>67,79</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b/>
                <w:sz w:val="18"/>
                <w:szCs w:val="18"/>
              </w:rPr>
            </w:pPr>
            <w:r>
              <w:rPr>
                <w:rFonts w:cstheme="minorHAnsi"/>
                <w:color w:val="000000"/>
                <w:sz w:val="18"/>
                <w:szCs w:val="18"/>
              </w:rPr>
              <w:t>67,84</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b/>
                <w:sz w:val="18"/>
                <w:szCs w:val="18"/>
              </w:rPr>
            </w:pPr>
            <w:r>
              <w:rPr>
                <w:rFonts w:cstheme="minorHAnsi"/>
                <w:color w:val="000000"/>
                <w:sz w:val="18"/>
                <w:szCs w:val="18"/>
              </w:rPr>
              <w:t>67,89</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b/>
                <w:sz w:val="18"/>
                <w:szCs w:val="18"/>
              </w:rPr>
            </w:pPr>
            <w:r>
              <w:rPr>
                <w:rFonts w:cstheme="minorHAnsi"/>
                <w:color w:val="000000"/>
                <w:sz w:val="18"/>
                <w:szCs w:val="18"/>
              </w:rPr>
              <w:t>71,60</w:t>
            </w:r>
          </w:p>
        </w:tc>
        <w:tc>
          <w:tcPr>
            <w:tcW w:w="803"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b/>
                <w:sz w:val="18"/>
                <w:szCs w:val="18"/>
              </w:rPr>
            </w:pPr>
            <w:r>
              <w:rPr>
                <w:rFonts w:cstheme="minorHAnsi"/>
                <w:color w:val="000000"/>
                <w:sz w:val="18"/>
                <w:szCs w:val="18"/>
              </w:rPr>
              <w:t>71,66</w:t>
            </w:r>
          </w:p>
        </w:tc>
        <w:tc>
          <w:tcPr>
            <w:tcW w:w="80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center"/>
              <w:rPr>
                <w:rFonts w:cstheme="minorHAnsi"/>
                <w:b/>
                <w:sz w:val="18"/>
                <w:szCs w:val="18"/>
              </w:rPr>
            </w:pPr>
            <w:r>
              <w:rPr>
                <w:rFonts w:cstheme="minorHAnsi"/>
                <w:color w:val="000000"/>
                <w:sz w:val="18"/>
                <w:szCs w:val="18"/>
              </w:rPr>
              <w:t>71,72</w:t>
            </w:r>
          </w:p>
        </w:tc>
      </w:tr>
    </w:tbl>
    <w:p>
      <w:pPr>
        <w:ind w:left="851" w:hanging="567"/>
        <w:jc w:val="both"/>
        <w:rPr>
          <w:rFonts w:ascii="Calibri" w:hAnsi="Calibri" w:cs="Calibri"/>
          <w:bCs/>
          <w:i/>
          <w:color w:val="000000" w:themeColor="text1"/>
          <w:sz w:val="16"/>
          <w:szCs w:val="16"/>
        </w:rPr>
      </w:pPr>
      <w:r>
        <w:rPr>
          <w:rFonts w:ascii="Calibri" w:hAnsi="Calibri" w:cs="Calibri"/>
          <w:bCs/>
          <w:i/>
          <w:color w:val="000000" w:themeColor="text1"/>
          <w:sz w:val="16"/>
          <w:szCs w:val="16"/>
        </w:rPr>
        <w:t>Sumber: BPS</w:t>
      </w:r>
    </w:p>
    <w:p/>
    <w:p/>
    <w:p>
      <w:pPr>
        <w:pStyle w:val="BodyTextIndent"/>
        <w:spacing w:after="0" w:line="360" w:lineRule="auto"/>
        <w:ind w:right="283" w:firstLine="426"/>
        <w:jc w:val="both"/>
        <w:rPr>
          <w:rFonts w:ascii="Calibri" w:hAnsi="Calibri"/>
          <w:color w:val="000000" w:themeColor="text1"/>
          <w:sz w:val="20"/>
          <w:szCs w:val="18"/>
        </w:rPr>
      </w:pPr>
      <w:r>
        <w:rPr>
          <w:rFonts w:ascii="Calibri" w:hAnsi="Calibri"/>
          <w:color w:val="000000" w:themeColor="text1"/>
          <w:sz w:val="20"/>
          <w:szCs w:val="18"/>
        </w:rPr>
        <w:lastRenderedPageBreak/>
        <w:t xml:space="preserve">Dari tabel 5.1 terlihat bahwa umur harapan hidup penduduk perempuan lebih tinggi dibanding dengan laki-laki.  Perbedaan umur harapan hidup antara laki-laki dan perempuan ini tercatat </w:t>
      </w:r>
      <w:r>
        <w:rPr>
          <w:rFonts w:ascii="Calibri" w:hAnsi="Calibri"/>
          <w:color w:val="000000" w:themeColor="text1"/>
          <w:sz w:val="20"/>
          <w:szCs w:val="18"/>
        </w:rPr>
        <w:sym w:font="Symbol" w:char="F0B1"/>
      </w:r>
      <w:r>
        <w:rPr>
          <w:rFonts w:ascii="Calibri" w:hAnsi="Calibri"/>
          <w:color w:val="000000" w:themeColor="text1"/>
          <w:sz w:val="20"/>
          <w:szCs w:val="18"/>
        </w:rPr>
        <w:t xml:space="preserve"> 4 tahun. Hal ini sebagai akibat resiko kematian saat mencari nafkah yang pada umumnya dilakukan oleh kaum laki-laki sangat besar, seperti sebagai pekerja tambang emas, menebang kayu, dan lain-lain.</w:t>
      </w:r>
    </w:p>
    <w:p>
      <w:pPr>
        <w:pStyle w:val="BodyTextIndent"/>
        <w:spacing w:after="0" w:line="360" w:lineRule="auto"/>
        <w:ind w:right="283" w:firstLine="709"/>
        <w:jc w:val="both"/>
        <w:rPr>
          <w:rFonts w:ascii="Calibri" w:hAnsi="Calibri"/>
          <w:sz w:val="20"/>
          <w:szCs w:val="18"/>
        </w:rPr>
      </w:pPr>
      <w:r>
        <w:rPr>
          <w:rFonts w:ascii="Calibri" w:hAnsi="Calibri"/>
          <w:color w:val="000000" w:themeColor="text1"/>
          <w:sz w:val="20"/>
          <w:szCs w:val="18"/>
        </w:rPr>
        <w:t xml:space="preserve">Jika kita lihat tren-nya juga angka harapan hidup tersebut terus meningkat, hal ini menunjukkan kualitas kesehatan masyarakat semakin meningkat. Kenaikan </w:t>
      </w:r>
      <w:r>
        <w:rPr>
          <w:rFonts w:ascii="Calibri" w:hAnsi="Calibri"/>
          <w:sz w:val="20"/>
          <w:szCs w:val="18"/>
        </w:rPr>
        <w:t>angka harapan hidup ini menunjukkan bahwa tingkat kematian semakin rendah dan harapan untuk berpartisipasi aktif dalam kehidupan sehari-hari semakin panjang. Pergeseran struktur usia dengan semakin tingginya harapan hidup ini akan menciptakan suatu potensi peningkatan penduduk lanjut usia (lansia). Dengan adanya pertumbuhan penduduk lansia ini berarti merupakan beban tanggungan bagi penduduk yang masih berproduksi.</w:t>
      </w:r>
    </w:p>
    <w:p>
      <w:pPr>
        <w:pStyle w:val="BodyTextIndent"/>
        <w:spacing w:after="0" w:line="360" w:lineRule="auto"/>
        <w:ind w:right="283" w:firstLine="709"/>
        <w:jc w:val="both"/>
        <w:rPr>
          <w:rFonts w:ascii="Calibri" w:hAnsi="Calibri"/>
          <w:sz w:val="20"/>
          <w:szCs w:val="18"/>
        </w:rPr>
      </w:pPr>
      <w:r>
        <w:rPr>
          <w:rFonts w:ascii="Calibri" w:hAnsi="Calibri"/>
          <w:sz w:val="20"/>
          <w:szCs w:val="18"/>
        </w:rPr>
        <w:t>Pada tahun 2021, angka harapan hidup laki-laki tertinggi di Kota Palangka Raya mencapai 71,26 tahun dan terendah di Kabupaten Katingan sebesar 63,84 tahun. Sedangkan angka harapan hidup perempuan tertinggi di Kota Palangka Raya mencapai 75,09 tahun dan terendah di Kabupaten Katingan sebesar 67,76 tahun. Angka harapan hidup baik laki-laki maupun perempuan tertinggi di Kota Palangka Raya, hal ini mungkin disebabkan sarana dan prasarana kesehatan yang lebih memadai, mengingat posisinya sebagai ibukota provinsi.</w:t>
      </w:r>
    </w:p>
    <w:p>
      <w:pPr>
        <w:pStyle w:val="BodyTextIndent"/>
        <w:spacing w:after="0" w:line="360" w:lineRule="auto"/>
        <w:ind w:right="283" w:firstLine="709"/>
        <w:jc w:val="both"/>
        <w:rPr>
          <w:rFonts w:ascii="Calibri" w:hAnsi="Calibri"/>
          <w:sz w:val="20"/>
          <w:szCs w:val="18"/>
        </w:rPr>
      </w:pPr>
    </w:p>
    <w:p>
      <w:pPr>
        <w:pStyle w:val="Heading2"/>
        <w:numPr>
          <w:ilvl w:val="0"/>
          <w:numId w:val="0"/>
        </w:numPr>
        <w:ind w:left="284"/>
        <w:rPr>
          <w:rFonts w:asciiTheme="minorHAnsi" w:hAnsiTheme="minorHAnsi" w:cstheme="minorHAnsi"/>
          <w:color w:val="auto"/>
          <w:sz w:val="20"/>
          <w:szCs w:val="20"/>
          <w:lang w:val="en-US"/>
        </w:rPr>
      </w:pPr>
      <w:bookmarkStart w:id="76" w:name="_Toc118715991"/>
      <w:r>
        <w:rPr>
          <w:rFonts w:asciiTheme="minorHAnsi" w:hAnsiTheme="minorHAnsi" w:cstheme="minorHAnsi"/>
          <w:color w:val="auto"/>
          <w:sz w:val="20"/>
          <w:szCs w:val="20"/>
          <w:lang w:val="en-US"/>
        </w:rPr>
        <w:lastRenderedPageBreak/>
        <w:t>5.2</w:t>
      </w:r>
      <w:r>
        <w:rPr>
          <w:rFonts w:asciiTheme="minorHAnsi" w:hAnsiTheme="minorHAnsi" w:cstheme="minorHAnsi"/>
          <w:color w:val="auto"/>
          <w:sz w:val="20"/>
          <w:szCs w:val="20"/>
          <w:lang w:val="en-US"/>
        </w:rPr>
        <w:tab/>
        <w:t>Kematian Ibu Melahirkan</w:t>
      </w:r>
      <w:bookmarkEnd w:id="76"/>
    </w:p>
    <w:p>
      <w:pPr>
        <w:spacing w:after="0" w:line="360" w:lineRule="auto"/>
        <w:ind w:left="284" w:firstLine="567"/>
        <w:jc w:val="both"/>
        <w:rPr>
          <w:rFonts w:ascii="Calibri" w:hAnsi="Calibri" w:cs="Arial"/>
          <w:sz w:val="20"/>
        </w:rPr>
      </w:pPr>
      <w:r>
        <w:rPr>
          <w:rFonts w:ascii="Calibri" w:hAnsi="Calibri"/>
          <w:sz w:val="20"/>
        </w:rPr>
        <w:t>Masalah kesehatan ibu dan perinatal merupakan masalah nasional yang perlu mendapat prioritas utama, karena sangat menentukan kualitas sumber daya manusia pada generasi mendatang.</w:t>
      </w:r>
      <w:r>
        <w:rPr>
          <w:rFonts w:ascii="Calibri" w:hAnsi="Calibri" w:cs="Arial"/>
          <w:sz w:val="20"/>
        </w:rPr>
        <w:t>Definisi kematian maternal atau kematian ibu menurut WHO adalah  kematian perempuan ketika hamil atau dalam 42 hari setelah terminasi kehamilan (melahirkan/keguguran/ aborsi) yang disebabkan oleh hal-hal terkait dengan kehamilan atau pemeliharaannya. Indikator kematian ibu bermanfaat untuk pengembangan program:</w:t>
      </w:r>
    </w:p>
    <w:p>
      <w:pPr>
        <w:numPr>
          <w:ilvl w:val="0"/>
          <w:numId w:val="26"/>
        </w:numPr>
        <w:spacing w:after="0" w:line="360" w:lineRule="auto"/>
        <w:ind w:left="709" w:hanging="283"/>
        <w:jc w:val="both"/>
        <w:rPr>
          <w:rFonts w:ascii="Calibri" w:hAnsi="Calibri" w:cs="Arial"/>
          <w:sz w:val="20"/>
        </w:rPr>
      </w:pPr>
      <w:r>
        <w:rPr>
          <w:rFonts w:ascii="Calibri" w:hAnsi="Calibri" w:cs="Arial"/>
          <w:sz w:val="20"/>
        </w:rPr>
        <w:t>peningkatan kesehatan reproduksi, terutama pelayanan kehamilan dan membuat kehamilan yang aman bebas risiko tinggi (</w:t>
      </w:r>
      <w:r>
        <w:rPr>
          <w:rFonts w:ascii="Calibri" w:hAnsi="Calibri" w:cs="Arial"/>
          <w:i/>
          <w:iCs/>
          <w:sz w:val="20"/>
        </w:rPr>
        <w:t>making pregnancy safer</w:t>
      </w:r>
      <w:r>
        <w:rPr>
          <w:rFonts w:ascii="Calibri" w:hAnsi="Calibri" w:cs="Arial"/>
          <w:sz w:val="20"/>
        </w:rPr>
        <w:t>);</w:t>
      </w:r>
    </w:p>
    <w:p>
      <w:pPr>
        <w:numPr>
          <w:ilvl w:val="0"/>
          <w:numId w:val="26"/>
        </w:numPr>
        <w:spacing w:after="0" w:line="360" w:lineRule="auto"/>
        <w:ind w:left="709" w:hanging="283"/>
        <w:jc w:val="both"/>
        <w:rPr>
          <w:rFonts w:ascii="Calibri" w:hAnsi="Calibri" w:cs="Arial"/>
          <w:sz w:val="20"/>
        </w:rPr>
      </w:pPr>
      <w:r>
        <w:rPr>
          <w:rFonts w:ascii="Calibri" w:hAnsi="Calibri" w:cs="Arial"/>
          <w:sz w:val="20"/>
        </w:rPr>
        <w:t>program peningkatan jumlah kelahiran yang dibantu oleh tenaga kesehatan;</w:t>
      </w:r>
    </w:p>
    <w:p>
      <w:pPr>
        <w:numPr>
          <w:ilvl w:val="0"/>
          <w:numId w:val="26"/>
        </w:numPr>
        <w:spacing w:after="0" w:line="360" w:lineRule="auto"/>
        <w:ind w:left="284" w:firstLine="142"/>
        <w:jc w:val="both"/>
        <w:rPr>
          <w:rFonts w:ascii="Calibri" w:hAnsi="Calibri" w:cs="Arial"/>
          <w:sz w:val="20"/>
        </w:rPr>
      </w:pPr>
      <w:r>
        <w:rPr>
          <w:rFonts w:ascii="Calibri" w:hAnsi="Calibri" w:cs="Arial"/>
          <w:sz w:val="20"/>
        </w:rPr>
        <w:t>penyiapan sistem rujukan dalam penanganan komplikasi kehamilan;</w:t>
      </w:r>
    </w:p>
    <w:p>
      <w:pPr>
        <w:pStyle w:val="BodyTextIndent"/>
        <w:numPr>
          <w:ilvl w:val="0"/>
          <w:numId w:val="26"/>
        </w:numPr>
        <w:spacing w:after="0" w:line="360" w:lineRule="auto"/>
        <w:ind w:left="284" w:firstLine="142"/>
        <w:jc w:val="both"/>
        <w:rPr>
          <w:rFonts w:ascii="Calibri" w:hAnsi="Calibri" w:cs="Arial"/>
          <w:sz w:val="20"/>
        </w:rPr>
      </w:pPr>
      <w:r>
        <w:rPr>
          <w:rFonts w:ascii="Calibri" w:hAnsi="Calibri" w:cs="Arial"/>
          <w:sz w:val="20"/>
        </w:rPr>
        <w:t>penyiapan keluarga dan suami siaga dalam menyongsong kelahiran, yang semuanya bertujuan untuk mengurangi Angka Kematian Ibu dan meningkatkan derajat kesehatan reproduksi.</w:t>
      </w:r>
    </w:p>
    <w:p>
      <w:pPr>
        <w:rPr>
          <w:lang w:val="en-US"/>
        </w:rPr>
      </w:pPr>
    </w:p>
    <w:p>
      <w:pPr>
        <w:rPr>
          <w:lang w:val="en-US"/>
        </w:rPr>
      </w:pPr>
    </w:p>
    <w:p>
      <w:pPr>
        <w:rPr>
          <w:lang w:val="en-US"/>
        </w:rPr>
      </w:pPr>
    </w:p>
    <w:p>
      <w:pPr>
        <w:rPr>
          <w:lang w:val="en-US"/>
        </w:rPr>
      </w:pPr>
    </w:p>
    <w:p>
      <w:pPr>
        <w:rPr>
          <w:lang w:val="en-US"/>
        </w:rPr>
      </w:pPr>
    </w:p>
    <w:p>
      <w:pPr>
        <w:pStyle w:val="Caption"/>
        <w:ind w:left="1418" w:hanging="1134"/>
        <w:rPr>
          <w:rFonts w:ascii="Calibri" w:hAnsi="Calibri" w:cs="Arial"/>
          <w:b/>
          <w:bCs/>
          <w:i w:val="0"/>
          <w:iCs w:val="0"/>
          <w:color w:val="auto"/>
          <w:sz w:val="20"/>
          <w:szCs w:val="20"/>
        </w:rPr>
      </w:pPr>
      <w:bookmarkStart w:id="77" w:name="_Toc117519538"/>
      <w:bookmarkStart w:id="78" w:name="_Toc118716955"/>
      <w:r>
        <w:rPr>
          <w:b/>
          <w:bCs/>
          <w:i w:val="0"/>
          <w:iCs w:val="0"/>
          <w:color w:val="auto"/>
          <w:sz w:val="20"/>
          <w:szCs w:val="20"/>
        </w:rPr>
        <w:lastRenderedPageBreak/>
        <w:t xml:space="preserve">Tabel 5. </w:t>
      </w:r>
      <w:r>
        <w:rPr>
          <w:b/>
          <w:bCs/>
          <w:i w:val="0"/>
          <w:iCs w:val="0"/>
          <w:color w:val="auto"/>
          <w:sz w:val="20"/>
          <w:szCs w:val="20"/>
        </w:rPr>
        <w:fldChar w:fldCharType="begin"/>
      </w:r>
      <w:r>
        <w:rPr>
          <w:b/>
          <w:bCs/>
          <w:i w:val="0"/>
          <w:iCs w:val="0"/>
          <w:color w:val="auto"/>
          <w:sz w:val="20"/>
          <w:szCs w:val="20"/>
        </w:rPr>
        <w:instrText xml:space="preserve"> SEQ Tabel_5. \* ARABIC </w:instrText>
      </w:r>
      <w:r>
        <w:rPr>
          <w:b/>
          <w:bCs/>
          <w:i w:val="0"/>
          <w:iCs w:val="0"/>
          <w:color w:val="auto"/>
          <w:sz w:val="20"/>
          <w:szCs w:val="20"/>
        </w:rPr>
        <w:fldChar w:fldCharType="separate"/>
      </w:r>
      <w:r>
        <w:rPr>
          <w:b/>
          <w:bCs/>
          <w:i w:val="0"/>
          <w:iCs w:val="0"/>
          <w:noProof/>
          <w:color w:val="auto"/>
          <w:sz w:val="20"/>
          <w:szCs w:val="20"/>
        </w:rPr>
        <w:t>2</w:t>
      </w:r>
      <w:bookmarkEnd w:id="77"/>
      <w:r>
        <w:rPr>
          <w:b/>
          <w:bCs/>
          <w:i w:val="0"/>
          <w:iCs w:val="0"/>
          <w:color w:val="auto"/>
          <w:sz w:val="20"/>
          <w:szCs w:val="20"/>
        </w:rPr>
        <w:fldChar w:fldCharType="end"/>
      </w:r>
      <w:r>
        <w:rPr>
          <w:b/>
          <w:bCs/>
          <w:i w:val="0"/>
          <w:iCs w:val="0"/>
          <w:color w:val="auto"/>
          <w:sz w:val="20"/>
          <w:szCs w:val="20"/>
          <w:lang w:val="en-US"/>
        </w:rPr>
        <w:t xml:space="preserve"> </w:t>
      </w:r>
      <w:r>
        <w:rPr>
          <w:b/>
          <w:bCs/>
          <w:i w:val="0"/>
          <w:iCs w:val="0"/>
          <w:color w:val="auto"/>
          <w:sz w:val="20"/>
          <w:szCs w:val="20"/>
          <w:lang w:val="en-US"/>
        </w:rPr>
        <w:tab/>
      </w:r>
      <w:r>
        <w:rPr>
          <w:rFonts w:ascii="Calibri" w:hAnsi="Calibri" w:cs="Arial"/>
          <w:b/>
          <w:bCs/>
          <w:i w:val="0"/>
          <w:iCs w:val="0"/>
          <w:color w:val="auto"/>
          <w:sz w:val="20"/>
          <w:szCs w:val="20"/>
        </w:rPr>
        <w:t>Jumlah Kematian Ibu Melahirkan Menurut Kabupaten/Kota,  2021</w:t>
      </w:r>
      <w:bookmarkEnd w:id="78"/>
    </w:p>
    <w:tbl>
      <w:tblPr>
        <w:tblW w:w="6237"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84"/>
        <w:gridCol w:w="2127"/>
        <w:gridCol w:w="2126"/>
      </w:tblGrid>
      <w:tr>
        <w:trPr>
          <w:cantSplit/>
          <w:trHeight w:val="397"/>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ind w:firstLine="111"/>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Kabupaten/Kota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Jumlah Lahir Hidup</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Jumlah Kematian Ibu</w:t>
            </w:r>
          </w:p>
        </w:tc>
      </w:tr>
      <w:tr>
        <w:trPr>
          <w:cantSplit/>
          <w:trHeight w:val="195"/>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(1)</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(2)</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(3)</w:t>
            </w:r>
          </w:p>
        </w:tc>
      </w:tr>
      <w:tr>
        <w:trPr>
          <w:cantSplit/>
          <w:trHeight w:val="340"/>
        </w:trPr>
        <w:tc>
          <w:tcPr>
            <w:tcW w:w="1984" w:type="dxa"/>
            <w:tcBorders>
              <w:top w:val="single" w:sz="4" w:space="0" w:color="FFFFFF" w:themeColor="background1"/>
            </w:tcBorders>
            <w:shd w:val="clear" w:color="auto" w:fill="EAF1DD" w:themeFill="accent3"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Kotawaringin Barat</w:t>
            </w:r>
          </w:p>
        </w:tc>
        <w:tc>
          <w:tcPr>
            <w:tcW w:w="2127" w:type="dxa"/>
            <w:tcBorders>
              <w:top w:val="single" w:sz="4" w:space="0" w:color="FFFFFF" w:themeColor="background1"/>
            </w:tcBorders>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5.194</w:t>
            </w:r>
          </w:p>
        </w:tc>
        <w:tc>
          <w:tcPr>
            <w:tcW w:w="2126" w:type="dxa"/>
            <w:tcBorders>
              <w:top w:val="single" w:sz="4" w:space="0" w:color="FFFFFF" w:themeColor="background1"/>
            </w:tcBorders>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18</w:t>
            </w:r>
          </w:p>
        </w:tc>
      </w:tr>
      <w:tr>
        <w:trPr>
          <w:cantSplit/>
          <w:trHeight w:val="340"/>
        </w:trPr>
        <w:tc>
          <w:tcPr>
            <w:tcW w:w="1984" w:type="dxa"/>
            <w:shd w:val="clear" w:color="auto" w:fill="E5DFEC" w:themeFill="accent4"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Kotawaringin Timur</w:t>
            </w:r>
          </w:p>
        </w:tc>
        <w:tc>
          <w:tcPr>
            <w:tcW w:w="2127"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8.802</w:t>
            </w:r>
          </w:p>
        </w:tc>
        <w:tc>
          <w:tcPr>
            <w:tcW w:w="2126"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20</w:t>
            </w:r>
          </w:p>
        </w:tc>
      </w:tr>
      <w:tr>
        <w:trPr>
          <w:cantSplit/>
          <w:trHeight w:val="340"/>
        </w:trPr>
        <w:tc>
          <w:tcPr>
            <w:tcW w:w="1984" w:type="dxa"/>
            <w:shd w:val="clear" w:color="auto" w:fill="EAF1DD" w:themeFill="accent3"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Kapuas</w:t>
            </w:r>
          </w:p>
        </w:tc>
        <w:tc>
          <w:tcPr>
            <w:tcW w:w="2127"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5.806</w:t>
            </w:r>
          </w:p>
        </w:tc>
        <w:tc>
          <w:tcPr>
            <w:tcW w:w="2126"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3</w:t>
            </w:r>
          </w:p>
        </w:tc>
      </w:tr>
      <w:tr>
        <w:trPr>
          <w:cantSplit/>
          <w:trHeight w:val="340"/>
        </w:trPr>
        <w:tc>
          <w:tcPr>
            <w:tcW w:w="1984" w:type="dxa"/>
            <w:shd w:val="clear" w:color="auto" w:fill="E5DFEC" w:themeFill="accent4"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Barito Selatan</w:t>
            </w:r>
          </w:p>
        </w:tc>
        <w:tc>
          <w:tcPr>
            <w:tcW w:w="2127"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1.981</w:t>
            </w:r>
          </w:p>
        </w:tc>
        <w:tc>
          <w:tcPr>
            <w:tcW w:w="2126"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8</w:t>
            </w:r>
          </w:p>
        </w:tc>
      </w:tr>
      <w:tr>
        <w:trPr>
          <w:cantSplit/>
          <w:trHeight w:val="340"/>
        </w:trPr>
        <w:tc>
          <w:tcPr>
            <w:tcW w:w="1984" w:type="dxa"/>
            <w:shd w:val="clear" w:color="auto" w:fill="EAF1DD" w:themeFill="accent3"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Barito Utara</w:t>
            </w:r>
          </w:p>
        </w:tc>
        <w:tc>
          <w:tcPr>
            <w:tcW w:w="2127"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2.470</w:t>
            </w:r>
          </w:p>
        </w:tc>
        <w:tc>
          <w:tcPr>
            <w:tcW w:w="2126"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9</w:t>
            </w:r>
          </w:p>
        </w:tc>
      </w:tr>
      <w:tr>
        <w:trPr>
          <w:cantSplit/>
          <w:trHeight w:val="340"/>
        </w:trPr>
        <w:tc>
          <w:tcPr>
            <w:tcW w:w="1984" w:type="dxa"/>
            <w:shd w:val="clear" w:color="auto" w:fill="E5DFEC" w:themeFill="accent4"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Sukamara</w:t>
            </w:r>
          </w:p>
        </w:tc>
        <w:tc>
          <w:tcPr>
            <w:tcW w:w="2127"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1.123</w:t>
            </w:r>
          </w:p>
        </w:tc>
        <w:tc>
          <w:tcPr>
            <w:tcW w:w="2126"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1</w:t>
            </w:r>
          </w:p>
        </w:tc>
      </w:tr>
      <w:tr>
        <w:trPr>
          <w:cantSplit/>
          <w:trHeight w:val="340"/>
        </w:trPr>
        <w:tc>
          <w:tcPr>
            <w:tcW w:w="1984" w:type="dxa"/>
            <w:shd w:val="clear" w:color="auto" w:fill="EAF1DD" w:themeFill="accent3"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Lamandau</w:t>
            </w:r>
          </w:p>
        </w:tc>
        <w:tc>
          <w:tcPr>
            <w:tcW w:w="2127"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1.297</w:t>
            </w:r>
          </w:p>
        </w:tc>
        <w:tc>
          <w:tcPr>
            <w:tcW w:w="2126"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4</w:t>
            </w:r>
          </w:p>
        </w:tc>
      </w:tr>
      <w:tr>
        <w:trPr>
          <w:cantSplit/>
          <w:trHeight w:val="340"/>
        </w:trPr>
        <w:tc>
          <w:tcPr>
            <w:tcW w:w="1984" w:type="dxa"/>
            <w:shd w:val="clear" w:color="auto" w:fill="E5DFEC" w:themeFill="accent4"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Seruyan</w:t>
            </w:r>
          </w:p>
        </w:tc>
        <w:tc>
          <w:tcPr>
            <w:tcW w:w="2127"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3.247</w:t>
            </w:r>
          </w:p>
        </w:tc>
        <w:tc>
          <w:tcPr>
            <w:tcW w:w="2126"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8</w:t>
            </w:r>
          </w:p>
        </w:tc>
      </w:tr>
      <w:tr>
        <w:trPr>
          <w:cantSplit/>
          <w:trHeight w:val="340"/>
        </w:trPr>
        <w:tc>
          <w:tcPr>
            <w:tcW w:w="1984" w:type="dxa"/>
            <w:shd w:val="clear" w:color="auto" w:fill="EAF1DD" w:themeFill="accent3"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Katingan</w:t>
            </w:r>
          </w:p>
        </w:tc>
        <w:tc>
          <w:tcPr>
            <w:tcW w:w="2127"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2.482</w:t>
            </w:r>
          </w:p>
        </w:tc>
        <w:tc>
          <w:tcPr>
            <w:tcW w:w="2126"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4</w:t>
            </w:r>
          </w:p>
        </w:tc>
      </w:tr>
      <w:tr>
        <w:trPr>
          <w:cantSplit/>
          <w:trHeight w:val="340"/>
        </w:trPr>
        <w:tc>
          <w:tcPr>
            <w:tcW w:w="1984" w:type="dxa"/>
            <w:shd w:val="clear" w:color="auto" w:fill="E5DFEC" w:themeFill="accent4"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Pulang Pisau</w:t>
            </w:r>
          </w:p>
        </w:tc>
        <w:tc>
          <w:tcPr>
            <w:tcW w:w="2127"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1.940</w:t>
            </w:r>
          </w:p>
        </w:tc>
        <w:tc>
          <w:tcPr>
            <w:tcW w:w="2126"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3</w:t>
            </w:r>
          </w:p>
        </w:tc>
      </w:tr>
      <w:tr>
        <w:trPr>
          <w:cantSplit/>
          <w:trHeight w:val="340"/>
        </w:trPr>
        <w:tc>
          <w:tcPr>
            <w:tcW w:w="1984" w:type="dxa"/>
            <w:shd w:val="clear" w:color="auto" w:fill="EAF1DD" w:themeFill="accent3"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Gunung Mas</w:t>
            </w:r>
          </w:p>
        </w:tc>
        <w:tc>
          <w:tcPr>
            <w:tcW w:w="2127"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2.184</w:t>
            </w:r>
          </w:p>
        </w:tc>
        <w:tc>
          <w:tcPr>
            <w:tcW w:w="2126"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4</w:t>
            </w:r>
          </w:p>
        </w:tc>
      </w:tr>
      <w:tr>
        <w:trPr>
          <w:cantSplit/>
          <w:trHeight w:val="340"/>
        </w:trPr>
        <w:tc>
          <w:tcPr>
            <w:tcW w:w="1984" w:type="dxa"/>
            <w:shd w:val="clear" w:color="auto" w:fill="E5DFEC" w:themeFill="accent4"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Barito Timur</w:t>
            </w:r>
          </w:p>
        </w:tc>
        <w:tc>
          <w:tcPr>
            <w:tcW w:w="2127"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1.811</w:t>
            </w:r>
          </w:p>
        </w:tc>
        <w:tc>
          <w:tcPr>
            <w:tcW w:w="2126"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5</w:t>
            </w:r>
          </w:p>
        </w:tc>
      </w:tr>
      <w:tr>
        <w:trPr>
          <w:cantSplit/>
          <w:trHeight w:val="340"/>
        </w:trPr>
        <w:tc>
          <w:tcPr>
            <w:tcW w:w="1984" w:type="dxa"/>
            <w:shd w:val="clear" w:color="auto" w:fill="EAF1DD" w:themeFill="accent3"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Murung Raya</w:t>
            </w:r>
          </w:p>
        </w:tc>
        <w:tc>
          <w:tcPr>
            <w:tcW w:w="2127"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2.141</w:t>
            </w:r>
          </w:p>
        </w:tc>
        <w:tc>
          <w:tcPr>
            <w:tcW w:w="2126" w:type="dxa"/>
            <w:shd w:val="clear" w:color="auto" w:fill="EAF1DD" w:themeFill="accent3"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6</w:t>
            </w:r>
          </w:p>
        </w:tc>
      </w:tr>
      <w:tr>
        <w:trPr>
          <w:cantSplit/>
          <w:trHeight w:val="340"/>
        </w:trPr>
        <w:tc>
          <w:tcPr>
            <w:tcW w:w="1984" w:type="dxa"/>
            <w:shd w:val="clear" w:color="auto" w:fill="E5DFEC" w:themeFill="accent4" w:themeFillTint="33"/>
            <w:vAlign w:val="center"/>
          </w:tcPr>
          <w:p>
            <w:pPr>
              <w:spacing w:after="0"/>
              <w:ind w:firstLine="111"/>
              <w:rPr>
                <w:rFonts w:ascii="Calibri" w:hAnsi="Calibri"/>
                <w:color w:val="000000" w:themeColor="text1"/>
                <w:sz w:val="18"/>
                <w:szCs w:val="18"/>
              </w:rPr>
            </w:pPr>
            <w:r>
              <w:rPr>
                <w:rFonts w:ascii="Calibri" w:hAnsi="Calibri"/>
                <w:color w:val="000000" w:themeColor="text1"/>
                <w:sz w:val="18"/>
                <w:szCs w:val="18"/>
              </w:rPr>
              <w:t>Palangka Raya</w:t>
            </w:r>
          </w:p>
        </w:tc>
        <w:tc>
          <w:tcPr>
            <w:tcW w:w="2127"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4.313</w:t>
            </w:r>
          </w:p>
        </w:tc>
        <w:tc>
          <w:tcPr>
            <w:tcW w:w="2126" w:type="dxa"/>
            <w:shd w:val="clear" w:color="auto" w:fill="E5DFEC" w:themeFill="accent4" w:themeFillTint="33"/>
            <w:vAlign w:val="center"/>
          </w:tcPr>
          <w:p>
            <w:pPr>
              <w:spacing w:after="0"/>
              <w:ind w:left="210" w:right="340"/>
              <w:jc w:val="center"/>
              <w:rPr>
                <w:rFonts w:ascii="Calibri" w:hAnsi="Calibri"/>
                <w:color w:val="000000" w:themeColor="text1"/>
                <w:sz w:val="18"/>
                <w:szCs w:val="18"/>
              </w:rPr>
            </w:pPr>
            <w:r>
              <w:rPr>
                <w:rFonts w:ascii="Calibri" w:hAnsi="Calibri"/>
                <w:color w:val="000000" w:themeColor="text1"/>
                <w:sz w:val="18"/>
                <w:szCs w:val="18"/>
              </w:rPr>
              <w:t>3</w:t>
            </w:r>
          </w:p>
        </w:tc>
      </w:tr>
      <w:tr>
        <w:trPr>
          <w:cantSplit/>
          <w:trHeight w:val="355"/>
        </w:trPr>
        <w:tc>
          <w:tcPr>
            <w:tcW w:w="1984" w:type="dxa"/>
            <w:shd w:val="clear" w:color="auto" w:fill="EAF1DD" w:themeFill="accent3" w:themeFillTint="33"/>
            <w:vAlign w:val="center"/>
          </w:tcPr>
          <w:p>
            <w:pPr>
              <w:spacing w:after="0"/>
              <w:ind w:firstLine="111"/>
              <w:rPr>
                <w:rFonts w:ascii="Calibri" w:hAnsi="Calibri"/>
                <w:b/>
                <w:color w:val="000000" w:themeColor="text1"/>
                <w:sz w:val="18"/>
                <w:szCs w:val="18"/>
              </w:rPr>
            </w:pPr>
            <w:r>
              <w:rPr>
                <w:rFonts w:ascii="Calibri" w:hAnsi="Calibri"/>
                <w:b/>
                <w:color w:val="000000" w:themeColor="text1"/>
                <w:sz w:val="18"/>
                <w:szCs w:val="18"/>
              </w:rPr>
              <w:t>Kalimantan Tengah</w:t>
            </w:r>
          </w:p>
        </w:tc>
        <w:tc>
          <w:tcPr>
            <w:tcW w:w="2127" w:type="dxa"/>
            <w:shd w:val="clear" w:color="auto" w:fill="EAF1DD" w:themeFill="accent3" w:themeFillTint="33"/>
            <w:vAlign w:val="center"/>
          </w:tcPr>
          <w:p>
            <w:pPr>
              <w:spacing w:after="0"/>
              <w:ind w:left="210" w:right="340"/>
              <w:jc w:val="center"/>
              <w:rPr>
                <w:rFonts w:ascii="Calibri" w:hAnsi="Calibri"/>
                <w:b/>
                <w:bCs/>
                <w:color w:val="000000" w:themeColor="text1"/>
                <w:sz w:val="18"/>
                <w:szCs w:val="18"/>
              </w:rPr>
            </w:pPr>
            <w:r>
              <w:rPr>
                <w:rFonts w:ascii="Calibri" w:hAnsi="Calibri"/>
                <w:b/>
                <w:bCs/>
                <w:color w:val="000000" w:themeColor="text1"/>
                <w:sz w:val="18"/>
                <w:szCs w:val="18"/>
              </w:rPr>
              <w:t>44.791</w:t>
            </w:r>
          </w:p>
        </w:tc>
        <w:tc>
          <w:tcPr>
            <w:tcW w:w="2126" w:type="dxa"/>
            <w:shd w:val="clear" w:color="auto" w:fill="EAF1DD" w:themeFill="accent3" w:themeFillTint="33"/>
            <w:vAlign w:val="center"/>
          </w:tcPr>
          <w:p>
            <w:pPr>
              <w:spacing w:after="0"/>
              <w:ind w:left="210" w:right="340"/>
              <w:jc w:val="center"/>
              <w:rPr>
                <w:rFonts w:ascii="Calibri" w:hAnsi="Calibri"/>
                <w:b/>
                <w:bCs/>
                <w:color w:val="000000" w:themeColor="text1"/>
                <w:sz w:val="18"/>
                <w:szCs w:val="18"/>
              </w:rPr>
            </w:pPr>
            <w:r>
              <w:rPr>
                <w:rFonts w:ascii="Calibri" w:hAnsi="Calibri"/>
                <w:b/>
                <w:bCs/>
                <w:color w:val="000000" w:themeColor="text1"/>
                <w:sz w:val="18"/>
                <w:szCs w:val="18"/>
              </w:rPr>
              <w:t>96</w:t>
            </w:r>
          </w:p>
        </w:tc>
      </w:tr>
    </w:tbl>
    <w:p>
      <w:pPr>
        <w:pStyle w:val="BodyTextIndent"/>
        <w:spacing w:after="0" w:line="240" w:lineRule="auto"/>
        <w:ind w:left="851" w:right="-1" w:hanging="567"/>
        <w:rPr>
          <w:rFonts w:ascii="Calibri" w:hAnsi="Calibri" w:cs="Calibri"/>
          <w:bCs/>
          <w:i/>
          <w:color w:val="000000" w:themeColor="text1"/>
          <w:sz w:val="16"/>
          <w:szCs w:val="16"/>
        </w:rPr>
      </w:pPr>
      <w:r>
        <w:rPr>
          <w:rFonts w:ascii="Calibri" w:hAnsi="Calibri" w:cs="Calibri"/>
          <w:bCs/>
          <w:i/>
          <w:color w:val="000000" w:themeColor="text1"/>
          <w:sz w:val="18"/>
          <w:szCs w:val="18"/>
        </w:rPr>
        <w:t>S</w:t>
      </w:r>
      <w:r>
        <w:rPr>
          <w:rFonts w:ascii="Calibri" w:hAnsi="Calibri" w:cs="Calibri"/>
          <w:bCs/>
          <w:i/>
          <w:color w:val="000000" w:themeColor="text1"/>
          <w:sz w:val="16"/>
          <w:szCs w:val="16"/>
        </w:rPr>
        <w:t>umber</w:t>
      </w:r>
      <w:r>
        <w:rPr>
          <w:rFonts w:ascii="Calibri" w:hAnsi="Calibri" w:cs="Calibri"/>
          <w:bCs/>
          <w:i/>
          <w:color w:val="000000" w:themeColor="text1"/>
          <w:sz w:val="16"/>
          <w:szCs w:val="16"/>
          <w:lang w:val="en-US"/>
        </w:rPr>
        <w:t xml:space="preserve"> </w:t>
      </w:r>
      <w:r>
        <w:rPr>
          <w:rFonts w:ascii="Calibri" w:hAnsi="Calibri" w:cs="Calibri"/>
          <w:bCs/>
          <w:i/>
          <w:color w:val="000000" w:themeColor="text1"/>
          <w:sz w:val="16"/>
          <w:szCs w:val="16"/>
        </w:rPr>
        <w:t xml:space="preserve">: Profil Kesehatan Kabupaten/Kota dan Bidang Kesmas Dinkes Prov.Kalteng </w:t>
      </w:r>
      <w:r>
        <w:rPr>
          <w:rFonts w:ascii="Calibri" w:hAnsi="Calibri" w:cs="Calibri"/>
          <w:bCs/>
          <w:i/>
          <w:color w:val="000000" w:themeColor="text1"/>
          <w:sz w:val="16"/>
          <w:szCs w:val="16"/>
          <w:lang w:val="en-US"/>
        </w:rPr>
        <w:t xml:space="preserve">  </w:t>
      </w:r>
      <w:r>
        <w:rPr>
          <w:rFonts w:ascii="Calibri" w:hAnsi="Calibri" w:cs="Calibri"/>
          <w:bCs/>
          <w:i/>
          <w:color w:val="000000" w:themeColor="text1"/>
          <w:sz w:val="16"/>
          <w:szCs w:val="16"/>
        </w:rPr>
        <w:t>Tahun 2022</w:t>
      </w:r>
    </w:p>
    <w:p>
      <w:pPr>
        <w:pStyle w:val="BodyTextIndent"/>
        <w:spacing w:after="0" w:line="240" w:lineRule="auto"/>
        <w:ind w:left="851" w:right="-1" w:hanging="567"/>
        <w:rPr>
          <w:rFonts w:ascii="Calibri" w:hAnsi="Calibri" w:cs="Calibri"/>
          <w:bCs/>
          <w:i/>
          <w:color w:val="000000" w:themeColor="text1"/>
          <w:sz w:val="16"/>
          <w:szCs w:val="16"/>
        </w:rPr>
      </w:pPr>
      <w:r>
        <w:rPr>
          <w:rFonts w:ascii="Calibri" w:hAnsi="Calibri" w:cs="Calibri"/>
          <w:bCs/>
          <w:i/>
          <w:color w:val="000000" w:themeColor="text1"/>
          <w:sz w:val="16"/>
          <w:szCs w:val="16"/>
        </w:rPr>
        <w:t>Ket</w:t>
      </w:r>
      <w:r>
        <w:rPr>
          <w:rFonts w:ascii="Calibri" w:hAnsi="Calibri" w:cs="Calibri"/>
          <w:bCs/>
          <w:i/>
          <w:color w:val="000000" w:themeColor="text1"/>
          <w:sz w:val="16"/>
          <w:szCs w:val="16"/>
          <w:lang w:val="en-US"/>
        </w:rPr>
        <w:t xml:space="preserve">        </w:t>
      </w:r>
      <w:r>
        <w:rPr>
          <w:rFonts w:ascii="Calibri" w:hAnsi="Calibri" w:cs="Calibri"/>
          <w:bCs/>
          <w:i/>
          <w:color w:val="000000" w:themeColor="text1"/>
          <w:sz w:val="16"/>
          <w:szCs w:val="16"/>
        </w:rPr>
        <w:t>: Jumlah Kematian Ibu saat hamil, bersalin, atau nifas. Angka Kematian Ibu (dilaporkan) tersebut di atas belum bisa menggambarkan AKI yang sebenarnya di populasi.</w:t>
      </w:r>
    </w:p>
    <w:p>
      <w:pPr>
        <w:pStyle w:val="BodyTextIndent"/>
        <w:spacing w:after="0"/>
        <w:ind w:firstLine="720"/>
        <w:rPr>
          <w:rFonts w:ascii="Calibri" w:hAnsi="Calibri" w:cs="Arial"/>
          <w:color w:val="0000FF"/>
          <w:sz w:val="20"/>
        </w:rPr>
      </w:pPr>
    </w:p>
    <w:p>
      <w:pPr>
        <w:pStyle w:val="BodyTextIndent"/>
        <w:spacing w:after="0"/>
        <w:ind w:firstLine="720"/>
        <w:rPr>
          <w:rFonts w:ascii="Calibri" w:hAnsi="Calibri" w:cs="Arial"/>
          <w:color w:val="0000FF"/>
          <w:sz w:val="20"/>
        </w:rPr>
      </w:pPr>
    </w:p>
    <w:p>
      <w:pPr>
        <w:pStyle w:val="BodyTextIndent"/>
        <w:spacing w:after="0"/>
        <w:ind w:firstLine="720"/>
        <w:rPr>
          <w:rFonts w:ascii="Calibri" w:hAnsi="Calibri" w:cs="Arial"/>
          <w:color w:val="0000FF"/>
          <w:sz w:val="20"/>
        </w:rPr>
      </w:pPr>
    </w:p>
    <w:p>
      <w:pPr>
        <w:pStyle w:val="BodyTextIndent"/>
        <w:spacing w:after="0"/>
        <w:ind w:firstLine="720"/>
        <w:rPr>
          <w:rFonts w:ascii="Calibri" w:hAnsi="Calibri" w:cs="Arial"/>
          <w:color w:val="0000FF"/>
          <w:sz w:val="20"/>
        </w:rPr>
      </w:pPr>
    </w:p>
    <w:p>
      <w:pPr>
        <w:pStyle w:val="BodyTextIndent"/>
        <w:spacing w:after="0" w:line="360" w:lineRule="auto"/>
        <w:ind w:firstLine="568"/>
        <w:jc w:val="both"/>
        <w:rPr>
          <w:rFonts w:ascii="Calibri" w:hAnsi="Calibri" w:cs="Arial"/>
          <w:color w:val="000000" w:themeColor="text1"/>
          <w:sz w:val="20"/>
        </w:rPr>
      </w:pPr>
      <w:r>
        <w:rPr>
          <w:rFonts w:ascii="Calibri" w:hAnsi="Calibri" w:cs="Arial"/>
          <w:color w:val="000000" w:themeColor="text1"/>
          <w:sz w:val="20"/>
        </w:rPr>
        <w:lastRenderedPageBreak/>
        <w:t xml:space="preserve">Jika dilihat dari tabel diatas, Kabupaten Kotawaringin Timur merupakan kabupaten dengan jumlah kematian ibu tertinggi di wilayah Kalimantan Tengah, yaitu sebanyak 20 kasus kematian ibu melahirkan. Melihat tingginya jumlah kematian ibu melahirkan dari tabel diatas maka diperlukan adanya program pemerintah untuk dapat mengurangi jumlah kematian ibu melahirkan. </w:t>
      </w: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BodyTextIndent"/>
        <w:spacing w:after="0" w:line="360" w:lineRule="auto"/>
        <w:ind w:firstLine="568"/>
        <w:jc w:val="both"/>
        <w:rPr>
          <w:rFonts w:ascii="Calibri" w:hAnsi="Calibri" w:cs="Arial"/>
          <w:color w:val="000000" w:themeColor="text1"/>
          <w:sz w:val="20"/>
        </w:rPr>
      </w:pPr>
    </w:p>
    <w:p>
      <w:pPr>
        <w:pStyle w:val="Caption"/>
        <w:ind w:left="1418" w:hanging="1134"/>
        <w:rPr>
          <w:rFonts w:ascii="Calibri" w:hAnsi="Calibri" w:cs="Arial"/>
          <w:b/>
          <w:bCs/>
          <w:i w:val="0"/>
          <w:iCs w:val="0"/>
          <w:color w:val="000000" w:themeColor="text1"/>
          <w:sz w:val="20"/>
          <w:szCs w:val="20"/>
        </w:rPr>
      </w:pPr>
      <w:bookmarkStart w:id="79" w:name="_Toc117519539"/>
      <w:bookmarkStart w:id="80" w:name="_Toc118716956"/>
      <w:r>
        <w:rPr>
          <w:b/>
          <w:bCs/>
          <w:i w:val="0"/>
          <w:iCs w:val="0"/>
          <w:color w:val="000000" w:themeColor="text1"/>
        </w:rPr>
        <w:lastRenderedPageBreak/>
        <w:t xml:space="preserve">Tabel 5. </w:t>
      </w:r>
      <w:r>
        <w:rPr>
          <w:b/>
          <w:bCs/>
          <w:i w:val="0"/>
          <w:iCs w:val="0"/>
          <w:color w:val="000000" w:themeColor="text1"/>
        </w:rPr>
        <w:fldChar w:fldCharType="begin"/>
      </w:r>
      <w:r>
        <w:rPr>
          <w:b/>
          <w:bCs/>
          <w:i w:val="0"/>
          <w:iCs w:val="0"/>
          <w:color w:val="000000" w:themeColor="text1"/>
        </w:rPr>
        <w:instrText xml:space="preserve"> SEQ Tabel_5. \* ARABIC </w:instrText>
      </w:r>
      <w:r>
        <w:rPr>
          <w:b/>
          <w:bCs/>
          <w:i w:val="0"/>
          <w:iCs w:val="0"/>
          <w:color w:val="000000" w:themeColor="text1"/>
        </w:rPr>
        <w:fldChar w:fldCharType="separate"/>
      </w:r>
      <w:r>
        <w:rPr>
          <w:b/>
          <w:bCs/>
          <w:i w:val="0"/>
          <w:iCs w:val="0"/>
          <w:noProof/>
          <w:color w:val="000000" w:themeColor="text1"/>
        </w:rPr>
        <w:t>3</w:t>
      </w:r>
      <w:bookmarkEnd w:id="79"/>
      <w:r>
        <w:rPr>
          <w:b/>
          <w:bCs/>
          <w:i w:val="0"/>
          <w:iCs w:val="0"/>
          <w:color w:val="000000" w:themeColor="text1"/>
        </w:rPr>
        <w:fldChar w:fldCharType="end"/>
      </w:r>
      <w:r>
        <w:rPr>
          <w:b/>
          <w:bCs/>
          <w:i w:val="0"/>
          <w:iCs w:val="0"/>
          <w:color w:val="000000" w:themeColor="text1"/>
        </w:rPr>
        <w:tab/>
      </w:r>
      <w:r>
        <w:rPr>
          <w:b/>
          <w:bCs/>
          <w:i w:val="0"/>
          <w:iCs w:val="0"/>
          <w:color w:val="000000" w:themeColor="text1"/>
          <w:lang w:val="en-US"/>
        </w:rPr>
        <w:t xml:space="preserve"> </w:t>
      </w:r>
      <w:r>
        <w:rPr>
          <w:rFonts w:ascii="Calibri" w:hAnsi="Calibri" w:cs="Arial"/>
          <w:b/>
          <w:bCs/>
          <w:i w:val="0"/>
          <w:iCs w:val="0"/>
          <w:color w:val="000000" w:themeColor="text1"/>
          <w:sz w:val="20"/>
          <w:szCs w:val="20"/>
        </w:rPr>
        <w:t>Jumlah Kematian Ibu Karena Hamil, Melahirkan, dan Nifas Menurut Penyebab Kematian dan Kabupaten/Kota, 2021</w:t>
      </w:r>
      <w:bookmarkEnd w:id="80"/>
    </w:p>
    <w:tbl>
      <w:tblPr>
        <w:tblW w:w="6521"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30" w:type="dxa"/>
          <w:right w:w="30" w:type="dxa"/>
        </w:tblCellMar>
        <w:tblLook w:val="0000" w:firstRow="0" w:lastRow="0" w:firstColumn="0" w:lastColumn="0" w:noHBand="0" w:noVBand="0"/>
      </w:tblPr>
      <w:tblGrid>
        <w:gridCol w:w="1276"/>
        <w:gridCol w:w="992"/>
        <w:gridCol w:w="992"/>
        <w:gridCol w:w="567"/>
        <w:gridCol w:w="851"/>
        <w:gridCol w:w="1134"/>
        <w:gridCol w:w="709"/>
      </w:tblGrid>
      <w:tr>
        <w:trPr>
          <w:cantSplit/>
          <w:trHeight w:val="395"/>
        </w:trPr>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ind w:hanging="34"/>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Penyebab Kematian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Perdarahan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Hipertensi dalam Kehamilan</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Infeksi</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Gangguan Sistem Peredaran Darah*</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Gangguan Metabolik**</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b/>
                <w:bCs/>
                <w:snapToGrid w:val="0"/>
                <w:color w:val="FFFFFF" w:themeColor="background1"/>
                <w:sz w:val="18"/>
                <w:szCs w:val="18"/>
              </w:rPr>
            </w:pPr>
            <w:r>
              <w:rPr>
                <w:rFonts w:ascii="Calibri" w:hAnsi="Calibri"/>
                <w:b/>
                <w:bCs/>
                <w:snapToGrid w:val="0"/>
                <w:color w:val="FFFFFF" w:themeColor="background1"/>
                <w:sz w:val="18"/>
                <w:szCs w:val="18"/>
              </w:rPr>
              <w:t>Lain-lain</w:t>
            </w:r>
          </w:p>
        </w:tc>
      </w:tr>
      <w:tr>
        <w:trPr>
          <w:cantSplit/>
          <w:trHeight w:val="225"/>
        </w:trPr>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(7)</w:t>
            </w:r>
          </w:p>
        </w:tc>
      </w:tr>
      <w:tr>
        <w:trPr>
          <w:cantSplit/>
          <w:trHeight w:val="338"/>
        </w:trPr>
        <w:tc>
          <w:tcPr>
            <w:tcW w:w="1276" w:type="dxa"/>
            <w:tcBorders>
              <w:top w:val="single" w:sz="4" w:space="0" w:color="FFFFFF" w:themeColor="background1"/>
            </w:tcBorders>
            <w:shd w:val="clear" w:color="auto" w:fill="EAF1DD" w:themeFill="accent3" w:themeFillTint="33"/>
            <w:vAlign w:val="center"/>
          </w:tcPr>
          <w:p>
            <w:pPr>
              <w:spacing w:after="0"/>
              <w:ind w:left="108"/>
              <w:rPr>
                <w:rFonts w:ascii="Calibri" w:hAnsi="Calibri"/>
                <w:sz w:val="18"/>
                <w:szCs w:val="18"/>
              </w:rPr>
            </w:pPr>
            <w:r>
              <w:rPr>
                <w:rFonts w:ascii="Calibri" w:hAnsi="Calibri"/>
                <w:sz w:val="18"/>
                <w:szCs w:val="18"/>
              </w:rPr>
              <w:t>Kotawaringin Barat</w:t>
            </w:r>
          </w:p>
        </w:tc>
        <w:tc>
          <w:tcPr>
            <w:tcW w:w="992" w:type="dxa"/>
            <w:tcBorders>
              <w:top w:val="single" w:sz="4" w:space="0" w:color="FFFFFF" w:themeColor="background1"/>
            </w:tcBorders>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6</w:t>
            </w:r>
          </w:p>
        </w:tc>
        <w:tc>
          <w:tcPr>
            <w:tcW w:w="992" w:type="dxa"/>
            <w:tcBorders>
              <w:top w:val="single" w:sz="4" w:space="0" w:color="FFFFFF" w:themeColor="background1"/>
            </w:tcBorders>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567" w:type="dxa"/>
            <w:tcBorders>
              <w:top w:val="single" w:sz="4" w:space="0" w:color="FFFFFF" w:themeColor="background1"/>
            </w:tcBorders>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tcBorders>
              <w:top w:val="single" w:sz="4" w:space="0" w:color="FFFFFF" w:themeColor="background1"/>
            </w:tcBorders>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1134" w:type="dxa"/>
            <w:tcBorders>
              <w:top w:val="single" w:sz="4" w:space="0" w:color="FFFFFF" w:themeColor="background1"/>
            </w:tcBorders>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tcBorders>
              <w:top w:val="single" w:sz="4" w:space="0" w:color="FFFFFF" w:themeColor="background1"/>
            </w:tcBorders>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11</w:t>
            </w:r>
          </w:p>
        </w:tc>
      </w:tr>
      <w:tr>
        <w:trPr>
          <w:cantSplit/>
          <w:trHeight w:val="338"/>
        </w:trPr>
        <w:tc>
          <w:tcPr>
            <w:tcW w:w="1276" w:type="dxa"/>
            <w:shd w:val="clear" w:color="auto" w:fill="E5DFEC" w:themeFill="accent4" w:themeFillTint="33"/>
            <w:vAlign w:val="center"/>
          </w:tcPr>
          <w:p>
            <w:pPr>
              <w:spacing w:after="0"/>
              <w:ind w:left="108"/>
              <w:rPr>
                <w:rFonts w:ascii="Calibri" w:hAnsi="Calibri"/>
                <w:sz w:val="18"/>
                <w:szCs w:val="18"/>
              </w:rPr>
            </w:pPr>
            <w:r>
              <w:rPr>
                <w:rFonts w:ascii="Calibri" w:hAnsi="Calibri"/>
                <w:sz w:val="18"/>
                <w:szCs w:val="18"/>
              </w:rPr>
              <w:t>Kotawaringin Timur</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11</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2</w:t>
            </w:r>
          </w:p>
        </w:tc>
        <w:tc>
          <w:tcPr>
            <w:tcW w:w="567"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851"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1134"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5</w:t>
            </w:r>
          </w:p>
        </w:tc>
      </w:tr>
      <w:tr>
        <w:trPr>
          <w:cantSplit/>
          <w:trHeight w:val="338"/>
        </w:trPr>
        <w:tc>
          <w:tcPr>
            <w:tcW w:w="1276" w:type="dxa"/>
            <w:shd w:val="clear" w:color="auto" w:fill="EAF1DD" w:themeFill="accent3" w:themeFillTint="33"/>
            <w:vAlign w:val="center"/>
          </w:tcPr>
          <w:p>
            <w:pPr>
              <w:spacing w:after="0"/>
              <w:ind w:left="108"/>
              <w:rPr>
                <w:rFonts w:ascii="Calibri" w:hAnsi="Calibri"/>
                <w:sz w:val="18"/>
                <w:szCs w:val="18"/>
              </w:rPr>
            </w:pPr>
            <w:r>
              <w:rPr>
                <w:rFonts w:ascii="Calibri" w:hAnsi="Calibri"/>
                <w:sz w:val="18"/>
                <w:szCs w:val="18"/>
              </w:rPr>
              <w:t>Kapuas</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2</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567"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1134"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709"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r>
      <w:tr>
        <w:trPr>
          <w:cantSplit/>
          <w:trHeight w:val="338"/>
        </w:trPr>
        <w:tc>
          <w:tcPr>
            <w:tcW w:w="1276" w:type="dxa"/>
            <w:shd w:val="clear" w:color="auto" w:fill="E5DFEC" w:themeFill="accent4" w:themeFillTint="33"/>
            <w:vAlign w:val="center"/>
          </w:tcPr>
          <w:p>
            <w:pPr>
              <w:spacing w:after="0"/>
              <w:ind w:left="108"/>
              <w:rPr>
                <w:rFonts w:ascii="Calibri" w:hAnsi="Calibri"/>
                <w:sz w:val="18"/>
                <w:szCs w:val="18"/>
              </w:rPr>
            </w:pPr>
            <w:r>
              <w:rPr>
                <w:rFonts w:ascii="Calibri" w:hAnsi="Calibri"/>
                <w:sz w:val="18"/>
                <w:szCs w:val="18"/>
              </w:rPr>
              <w:t>Barito Selatan</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2</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3</w:t>
            </w:r>
          </w:p>
        </w:tc>
        <w:tc>
          <w:tcPr>
            <w:tcW w:w="567"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1134"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2</w:t>
            </w:r>
          </w:p>
        </w:tc>
      </w:tr>
      <w:tr>
        <w:trPr>
          <w:cantSplit/>
          <w:trHeight w:val="338"/>
        </w:trPr>
        <w:tc>
          <w:tcPr>
            <w:tcW w:w="1276" w:type="dxa"/>
            <w:shd w:val="clear" w:color="auto" w:fill="EAF1DD" w:themeFill="accent3" w:themeFillTint="33"/>
            <w:vAlign w:val="center"/>
          </w:tcPr>
          <w:p>
            <w:pPr>
              <w:spacing w:after="0"/>
              <w:ind w:left="108"/>
              <w:rPr>
                <w:rFonts w:ascii="Calibri" w:hAnsi="Calibri"/>
                <w:sz w:val="18"/>
                <w:szCs w:val="18"/>
              </w:rPr>
            </w:pPr>
            <w:r>
              <w:rPr>
                <w:rFonts w:ascii="Calibri" w:hAnsi="Calibri"/>
                <w:sz w:val="18"/>
                <w:szCs w:val="18"/>
              </w:rPr>
              <w:t>Barito Utara</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3</w:t>
            </w:r>
          </w:p>
        </w:tc>
        <w:tc>
          <w:tcPr>
            <w:tcW w:w="567"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1134"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5</w:t>
            </w:r>
          </w:p>
        </w:tc>
      </w:tr>
      <w:tr>
        <w:trPr>
          <w:cantSplit/>
          <w:trHeight w:val="338"/>
        </w:trPr>
        <w:tc>
          <w:tcPr>
            <w:tcW w:w="1276" w:type="dxa"/>
            <w:shd w:val="clear" w:color="auto" w:fill="E5DFEC" w:themeFill="accent4" w:themeFillTint="33"/>
            <w:vAlign w:val="center"/>
          </w:tcPr>
          <w:p>
            <w:pPr>
              <w:spacing w:after="0"/>
              <w:ind w:left="108"/>
              <w:rPr>
                <w:rFonts w:ascii="Calibri" w:hAnsi="Calibri"/>
                <w:sz w:val="18"/>
                <w:szCs w:val="18"/>
              </w:rPr>
            </w:pPr>
            <w:r>
              <w:rPr>
                <w:rFonts w:ascii="Calibri" w:hAnsi="Calibri"/>
                <w:sz w:val="18"/>
                <w:szCs w:val="18"/>
              </w:rPr>
              <w:t>Sukamara</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567"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1134"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w:t>
            </w:r>
          </w:p>
        </w:tc>
      </w:tr>
      <w:tr>
        <w:trPr>
          <w:cantSplit/>
          <w:trHeight w:val="338"/>
        </w:trPr>
        <w:tc>
          <w:tcPr>
            <w:tcW w:w="1276" w:type="dxa"/>
            <w:shd w:val="clear" w:color="auto" w:fill="EAF1DD" w:themeFill="accent3" w:themeFillTint="33"/>
            <w:vAlign w:val="center"/>
          </w:tcPr>
          <w:p>
            <w:pPr>
              <w:spacing w:after="0"/>
              <w:ind w:left="108"/>
              <w:rPr>
                <w:rFonts w:ascii="Calibri" w:hAnsi="Calibri"/>
                <w:sz w:val="18"/>
                <w:szCs w:val="18"/>
              </w:rPr>
            </w:pPr>
            <w:r>
              <w:rPr>
                <w:rFonts w:ascii="Calibri" w:hAnsi="Calibri"/>
                <w:sz w:val="18"/>
                <w:szCs w:val="18"/>
              </w:rPr>
              <w:t>Lamandau</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567"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1134"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r>
      <w:tr>
        <w:trPr>
          <w:cantSplit/>
          <w:trHeight w:val="338"/>
        </w:trPr>
        <w:tc>
          <w:tcPr>
            <w:tcW w:w="1276" w:type="dxa"/>
            <w:shd w:val="clear" w:color="auto" w:fill="E5DFEC" w:themeFill="accent4" w:themeFillTint="33"/>
            <w:vAlign w:val="center"/>
          </w:tcPr>
          <w:p>
            <w:pPr>
              <w:spacing w:after="0"/>
              <w:ind w:left="108"/>
              <w:rPr>
                <w:rFonts w:ascii="Calibri" w:hAnsi="Calibri"/>
                <w:sz w:val="18"/>
                <w:szCs w:val="18"/>
              </w:rPr>
            </w:pPr>
            <w:r>
              <w:rPr>
                <w:rFonts w:ascii="Calibri" w:hAnsi="Calibri"/>
                <w:sz w:val="18"/>
                <w:szCs w:val="18"/>
              </w:rPr>
              <w:t>Seruyan</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3</w:t>
            </w:r>
          </w:p>
        </w:tc>
        <w:tc>
          <w:tcPr>
            <w:tcW w:w="567"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1134"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3</w:t>
            </w:r>
          </w:p>
        </w:tc>
      </w:tr>
      <w:tr>
        <w:trPr>
          <w:cantSplit/>
          <w:trHeight w:val="338"/>
        </w:trPr>
        <w:tc>
          <w:tcPr>
            <w:tcW w:w="1276" w:type="dxa"/>
            <w:shd w:val="clear" w:color="auto" w:fill="EAF1DD" w:themeFill="accent3" w:themeFillTint="33"/>
            <w:vAlign w:val="center"/>
          </w:tcPr>
          <w:p>
            <w:pPr>
              <w:spacing w:after="0"/>
              <w:ind w:left="108"/>
              <w:rPr>
                <w:rFonts w:ascii="Calibri" w:hAnsi="Calibri"/>
                <w:sz w:val="18"/>
                <w:szCs w:val="18"/>
              </w:rPr>
            </w:pPr>
            <w:r>
              <w:rPr>
                <w:rFonts w:ascii="Calibri" w:hAnsi="Calibri"/>
                <w:sz w:val="18"/>
                <w:szCs w:val="18"/>
              </w:rPr>
              <w:t>Katingan</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2</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567"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1134"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2</w:t>
            </w:r>
          </w:p>
        </w:tc>
      </w:tr>
      <w:tr>
        <w:trPr>
          <w:cantSplit/>
          <w:trHeight w:val="338"/>
        </w:trPr>
        <w:tc>
          <w:tcPr>
            <w:tcW w:w="1276" w:type="dxa"/>
            <w:shd w:val="clear" w:color="auto" w:fill="E5DFEC" w:themeFill="accent4" w:themeFillTint="33"/>
            <w:vAlign w:val="center"/>
          </w:tcPr>
          <w:p>
            <w:pPr>
              <w:spacing w:after="0"/>
              <w:ind w:left="108"/>
              <w:rPr>
                <w:rFonts w:ascii="Calibri" w:hAnsi="Calibri"/>
                <w:sz w:val="18"/>
                <w:szCs w:val="18"/>
              </w:rPr>
            </w:pPr>
            <w:r>
              <w:rPr>
                <w:rFonts w:ascii="Calibri" w:hAnsi="Calibri"/>
                <w:sz w:val="18"/>
                <w:szCs w:val="18"/>
              </w:rPr>
              <w:t>Pulang Pisau</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567"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1134"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2</w:t>
            </w:r>
          </w:p>
        </w:tc>
      </w:tr>
      <w:tr>
        <w:trPr>
          <w:cantSplit/>
          <w:trHeight w:val="338"/>
        </w:trPr>
        <w:tc>
          <w:tcPr>
            <w:tcW w:w="1276" w:type="dxa"/>
            <w:shd w:val="clear" w:color="auto" w:fill="EAF1DD" w:themeFill="accent3" w:themeFillTint="33"/>
            <w:vAlign w:val="center"/>
          </w:tcPr>
          <w:p>
            <w:pPr>
              <w:spacing w:after="0"/>
              <w:ind w:left="108"/>
              <w:rPr>
                <w:rFonts w:ascii="Calibri" w:hAnsi="Calibri"/>
                <w:sz w:val="18"/>
                <w:szCs w:val="18"/>
              </w:rPr>
            </w:pPr>
            <w:r>
              <w:rPr>
                <w:rFonts w:ascii="Calibri" w:hAnsi="Calibri"/>
                <w:sz w:val="18"/>
                <w:szCs w:val="18"/>
              </w:rPr>
              <w:t>Gunung Mas</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567"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1134"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2</w:t>
            </w:r>
          </w:p>
        </w:tc>
      </w:tr>
      <w:tr>
        <w:trPr>
          <w:cantSplit/>
          <w:trHeight w:val="338"/>
        </w:trPr>
        <w:tc>
          <w:tcPr>
            <w:tcW w:w="1276" w:type="dxa"/>
            <w:shd w:val="clear" w:color="auto" w:fill="E5DFEC" w:themeFill="accent4" w:themeFillTint="33"/>
            <w:vAlign w:val="center"/>
          </w:tcPr>
          <w:p>
            <w:pPr>
              <w:spacing w:after="0"/>
              <w:ind w:left="108"/>
              <w:rPr>
                <w:rFonts w:ascii="Calibri" w:hAnsi="Calibri"/>
                <w:sz w:val="18"/>
                <w:szCs w:val="18"/>
              </w:rPr>
            </w:pPr>
            <w:r>
              <w:rPr>
                <w:rFonts w:ascii="Calibri" w:hAnsi="Calibri"/>
                <w:sz w:val="18"/>
                <w:szCs w:val="18"/>
              </w:rPr>
              <w:t>Barito Timur</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2</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567"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1134"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3</w:t>
            </w:r>
          </w:p>
        </w:tc>
      </w:tr>
      <w:tr>
        <w:trPr>
          <w:cantSplit/>
          <w:trHeight w:val="338"/>
        </w:trPr>
        <w:tc>
          <w:tcPr>
            <w:tcW w:w="1276" w:type="dxa"/>
            <w:shd w:val="clear" w:color="auto" w:fill="EAF1DD" w:themeFill="accent3" w:themeFillTint="33"/>
            <w:vAlign w:val="center"/>
          </w:tcPr>
          <w:p>
            <w:pPr>
              <w:spacing w:after="0"/>
              <w:ind w:left="108"/>
              <w:rPr>
                <w:rFonts w:ascii="Calibri" w:hAnsi="Calibri"/>
                <w:sz w:val="18"/>
                <w:szCs w:val="18"/>
              </w:rPr>
            </w:pPr>
            <w:r>
              <w:rPr>
                <w:rFonts w:ascii="Calibri" w:hAnsi="Calibri"/>
                <w:sz w:val="18"/>
                <w:szCs w:val="18"/>
              </w:rPr>
              <w:t>Murung Raya</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4</w:t>
            </w:r>
          </w:p>
        </w:tc>
        <w:tc>
          <w:tcPr>
            <w:tcW w:w="992"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567"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1134"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AF1DD" w:themeFill="accent3" w:themeFillTint="33"/>
            <w:vAlign w:val="center"/>
          </w:tcPr>
          <w:p>
            <w:pPr>
              <w:spacing w:after="0"/>
              <w:ind w:left="108" w:right="112"/>
              <w:jc w:val="center"/>
              <w:rPr>
                <w:rFonts w:ascii="Calibri" w:hAnsi="Calibri"/>
                <w:sz w:val="18"/>
                <w:szCs w:val="18"/>
              </w:rPr>
            </w:pPr>
            <w:r>
              <w:rPr>
                <w:rFonts w:ascii="Calibri" w:hAnsi="Calibri"/>
                <w:sz w:val="18"/>
                <w:szCs w:val="18"/>
              </w:rPr>
              <w:t>2</w:t>
            </w:r>
          </w:p>
        </w:tc>
      </w:tr>
      <w:tr>
        <w:trPr>
          <w:cantSplit/>
          <w:trHeight w:val="338"/>
        </w:trPr>
        <w:tc>
          <w:tcPr>
            <w:tcW w:w="1276" w:type="dxa"/>
            <w:shd w:val="clear" w:color="auto" w:fill="E5DFEC" w:themeFill="accent4" w:themeFillTint="33"/>
            <w:vAlign w:val="center"/>
          </w:tcPr>
          <w:p>
            <w:pPr>
              <w:spacing w:after="0"/>
              <w:ind w:left="108"/>
              <w:rPr>
                <w:rFonts w:ascii="Calibri" w:hAnsi="Calibri"/>
                <w:sz w:val="18"/>
                <w:szCs w:val="18"/>
              </w:rPr>
            </w:pPr>
            <w:r>
              <w:rPr>
                <w:rFonts w:ascii="Calibri" w:hAnsi="Calibri"/>
                <w:sz w:val="18"/>
                <w:szCs w:val="18"/>
              </w:rPr>
              <w:t>Palangka Raya</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992"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567"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851"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1</w:t>
            </w:r>
          </w:p>
        </w:tc>
        <w:tc>
          <w:tcPr>
            <w:tcW w:w="1134"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0</w:t>
            </w:r>
          </w:p>
        </w:tc>
        <w:tc>
          <w:tcPr>
            <w:tcW w:w="709" w:type="dxa"/>
            <w:shd w:val="clear" w:color="auto" w:fill="E5DFEC" w:themeFill="accent4" w:themeFillTint="33"/>
            <w:vAlign w:val="center"/>
          </w:tcPr>
          <w:p>
            <w:pPr>
              <w:spacing w:after="0"/>
              <w:ind w:left="108" w:right="112"/>
              <w:jc w:val="center"/>
              <w:rPr>
                <w:rFonts w:ascii="Calibri" w:hAnsi="Calibri"/>
                <w:sz w:val="18"/>
                <w:szCs w:val="18"/>
              </w:rPr>
            </w:pPr>
            <w:r>
              <w:rPr>
                <w:rFonts w:ascii="Calibri" w:hAnsi="Calibri"/>
                <w:sz w:val="18"/>
                <w:szCs w:val="18"/>
              </w:rPr>
              <w:t>2</w:t>
            </w:r>
          </w:p>
        </w:tc>
      </w:tr>
      <w:tr>
        <w:trPr>
          <w:cantSplit/>
          <w:trHeight w:val="395"/>
        </w:trPr>
        <w:tc>
          <w:tcPr>
            <w:tcW w:w="1276" w:type="dxa"/>
            <w:shd w:val="clear" w:color="auto" w:fill="EAF1DD" w:themeFill="accent3" w:themeFillTint="33"/>
            <w:vAlign w:val="center"/>
          </w:tcPr>
          <w:p>
            <w:pPr>
              <w:spacing w:after="0"/>
              <w:ind w:left="108"/>
              <w:rPr>
                <w:rFonts w:ascii="Calibri" w:hAnsi="Calibri"/>
                <w:b/>
                <w:sz w:val="18"/>
                <w:szCs w:val="18"/>
              </w:rPr>
            </w:pPr>
            <w:r>
              <w:rPr>
                <w:rFonts w:ascii="Calibri" w:hAnsi="Calibri"/>
                <w:b/>
                <w:sz w:val="18"/>
                <w:szCs w:val="18"/>
              </w:rPr>
              <w:t>Kalimantan Tengah</w:t>
            </w:r>
          </w:p>
        </w:tc>
        <w:tc>
          <w:tcPr>
            <w:tcW w:w="992" w:type="dxa"/>
            <w:shd w:val="clear" w:color="auto" w:fill="EAF1DD" w:themeFill="accent3" w:themeFillTint="33"/>
            <w:vAlign w:val="center"/>
          </w:tcPr>
          <w:p>
            <w:pPr>
              <w:spacing w:after="0"/>
              <w:ind w:left="108" w:right="112"/>
              <w:jc w:val="center"/>
              <w:rPr>
                <w:rFonts w:ascii="Calibri" w:hAnsi="Calibri"/>
                <w:b/>
                <w:bCs/>
                <w:sz w:val="18"/>
                <w:szCs w:val="18"/>
              </w:rPr>
            </w:pPr>
            <w:r>
              <w:rPr>
                <w:rFonts w:ascii="Calibri" w:hAnsi="Calibri"/>
                <w:b/>
                <w:bCs/>
                <w:sz w:val="18"/>
                <w:szCs w:val="18"/>
              </w:rPr>
              <w:t>32</w:t>
            </w:r>
          </w:p>
        </w:tc>
        <w:tc>
          <w:tcPr>
            <w:tcW w:w="992" w:type="dxa"/>
            <w:shd w:val="clear" w:color="auto" w:fill="EAF1DD" w:themeFill="accent3" w:themeFillTint="33"/>
            <w:vAlign w:val="center"/>
          </w:tcPr>
          <w:p>
            <w:pPr>
              <w:spacing w:after="0"/>
              <w:ind w:left="108" w:right="112"/>
              <w:jc w:val="center"/>
              <w:rPr>
                <w:rFonts w:ascii="Calibri" w:hAnsi="Calibri"/>
                <w:b/>
                <w:bCs/>
                <w:sz w:val="18"/>
                <w:szCs w:val="18"/>
              </w:rPr>
            </w:pPr>
            <w:r>
              <w:rPr>
                <w:rFonts w:ascii="Calibri" w:hAnsi="Calibri"/>
                <w:b/>
                <w:bCs/>
                <w:sz w:val="18"/>
                <w:szCs w:val="18"/>
              </w:rPr>
              <w:t>15</w:t>
            </w:r>
          </w:p>
        </w:tc>
        <w:tc>
          <w:tcPr>
            <w:tcW w:w="567" w:type="dxa"/>
            <w:shd w:val="clear" w:color="auto" w:fill="EAF1DD" w:themeFill="accent3" w:themeFillTint="33"/>
            <w:vAlign w:val="center"/>
          </w:tcPr>
          <w:p>
            <w:pPr>
              <w:spacing w:after="0"/>
              <w:ind w:left="108" w:right="112"/>
              <w:jc w:val="center"/>
              <w:rPr>
                <w:rFonts w:ascii="Calibri" w:hAnsi="Calibri"/>
                <w:b/>
                <w:bCs/>
                <w:sz w:val="18"/>
                <w:szCs w:val="18"/>
              </w:rPr>
            </w:pPr>
            <w:r>
              <w:rPr>
                <w:rFonts w:ascii="Calibri" w:hAnsi="Calibri"/>
                <w:b/>
                <w:bCs/>
                <w:sz w:val="18"/>
                <w:szCs w:val="18"/>
              </w:rPr>
              <w:t>1</w:t>
            </w:r>
          </w:p>
        </w:tc>
        <w:tc>
          <w:tcPr>
            <w:tcW w:w="851" w:type="dxa"/>
            <w:shd w:val="clear" w:color="auto" w:fill="EAF1DD" w:themeFill="accent3" w:themeFillTint="33"/>
            <w:vAlign w:val="center"/>
          </w:tcPr>
          <w:p>
            <w:pPr>
              <w:spacing w:after="0"/>
              <w:ind w:left="108" w:right="112"/>
              <w:jc w:val="center"/>
              <w:rPr>
                <w:rFonts w:ascii="Calibri" w:hAnsi="Calibri"/>
                <w:b/>
                <w:bCs/>
                <w:sz w:val="18"/>
                <w:szCs w:val="18"/>
              </w:rPr>
            </w:pPr>
            <w:r>
              <w:rPr>
                <w:rFonts w:ascii="Calibri" w:hAnsi="Calibri"/>
                <w:b/>
                <w:bCs/>
                <w:sz w:val="18"/>
                <w:szCs w:val="18"/>
              </w:rPr>
              <w:t>6</w:t>
            </w:r>
          </w:p>
        </w:tc>
        <w:tc>
          <w:tcPr>
            <w:tcW w:w="1134" w:type="dxa"/>
            <w:shd w:val="clear" w:color="auto" w:fill="EAF1DD" w:themeFill="accent3" w:themeFillTint="33"/>
            <w:vAlign w:val="center"/>
          </w:tcPr>
          <w:p>
            <w:pPr>
              <w:spacing w:after="0"/>
              <w:ind w:left="108" w:right="112"/>
              <w:jc w:val="center"/>
              <w:rPr>
                <w:rFonts w:ascii="Calibri" w:hAnsi="Calibri"/>
                <w:b/>
                <w:bCs/>
                <w:sz w:val="18"/>
                <w:szCs w:val="18"/>
              </w:rPr>
            </w:pPr>
            <w:r>
              <w:rPr>
                <w:rFonts w:ascii="Calibri" w:hAnsi="Calibri"/>
                <w:b/>
                <w:bCs/>
                <w:sz w:val="18"/>
                <w:szCs w:val="18"/>
              </w:rPr>
              <w:t>1</w:t>
            </w:r>
          </w:p>
        </w:tc>
        <w:tc>
          <w:tcPr>
            <w:tcW w:w="709" w:type="dxa"/>
            <w:shd w:val="clear" w:color="auto" w:fill="EAF1DD" w:themeFill="accent3" w:themeFillTint="33"/>
            <w:vAlign w:val="center"/>
          </w:tcPr>
          <w:p>
            <w:pPr>
              <w:spacing w:after="0"/>
              <w:ind w:left="108" w:right="112"/>
              <w:jc w:val="center"/>
              <w:rPr>
                <w:rFonts w:ascii="Calibri" w:hAnsi="Calibri"/>
                <w:b/>
                <w:bCs/>
                <w:sz w:val="18"/>
                <w:szCs w:val="18"/>
              </w:rPr>
            </w:pPr>
            <w:r>
              <w:rPr>
                <w:rFonts w:ascii="Calibri" w:hAnsi="Calibri"/>
                <w:b/>
                <w:bCs/>
                <w:sz w:val="18"/>
                <w:szCs w:val="18"/>
              </w:rPr>
              <w:t>41</w:t>
            </w:r>
          </w:p>
        </w:tc>
      </w:tr>
    </w:tbl>
    <w:p>
      <w:pPr>
        <w:pStyle w:val="BodyTextIndent"/>
        <w:spacing w:after="0" w:line="240" w:lineRule="auto"/>
        <w:ind w:left="709" w:hanging="567"/>
        <w:rPr>
          <w:rFonts w:ascii="Calibri" w:hAnsi="Calibri" w:cs="Calibri"/>
          <w:bCs/>
          <w:i/>
          <w:sz w:val="16"/>
          <w:szCs w:val="16"/>
        </w:rPr>
      </w:pPr>
      <w:bookmarkStart w:id="81" w:name="_Toc117519540"/>
      <w:r>
        <w:rPr>
          <w:rFonts w:ascii="Calibri" w:hAnsi="Calibri" w:cs="Calibri"/>
          <w:bCs/>
          <w:i/>
          <w:sz w:val="16"/>
          <w:szCs w:val="16"/>
        </w:rPr>
        <w:t>Sumber: Profil Kesehatan Kabupaten/Kota dan Bidang Kesmas Dinkes Prov.Kalteng Tahun 2022</w:t>
      </w:r>
    </w:p>
    <w:p>
      <w:pPr>
        <w:pStyle w:val="BodyTextIndent"/>
        <w:spacing w:after="0" w:line="240" w:lineRule="auto"/>
        <w:ind w:hanging="141"/>
        <w:rPr>
          <w:rFonts w:ascii="Calibri" w:hAnsi="Calibri" w:cs="Calibri"/>
          <w:bCs/>
          <w:i/>
          <w:sz w:val="16"/>
          <w:szCs w:val="16"/>
        </w:rPr>
      </w:pPr>
      <w:r>
        <w:rPr>
          <w:rFonts w:ascii="Calibri" w:hAnsi="Calibri" w:cs="Calibri"/>
          <w:bCs/>
          <w:i/>
          <w:sz w:val="16"/>
          <w:szCs w:val="16"/>
        </w:rPr>
        <w:t>*) Jantung, Stroke, dll</w:t>
      </w:r>
    </w:p>
    <w:p>
      <w:pPr>
        <w:pStyle w:val="BodyTextIndent"/>
        <w:spacing w:after="0" w:line="240" w:lineRule="auto"/>
        <w:ind w:hanging="141"/>
        <w:rPr>
          <w:rFonts w:ascii="Calibri" w:hAnsi="Calibri" w:cs="Calibri"/>
          <w:bCs/>
          <w:i/>
          <w:sz w:val="16"/>
          <w:szCs w:val="16"/>
        </w:rPr>
      </w:pPr>
      <w:r>
        <w:rPr>
          <w:rFonts w:ascii="Calibri" w:hAnsi="Calibri" w:cs="Calibri"/>
          <w:bCs/>
          <w:i/>
          <w:sz w:val="16"/>
          <w:szCs w:val="16"/>
        </w:rPr>
        <w:t>**) Diabetes Melitus, dll</w:t>
      </w:r>
    </w:p>
    <w:p>
      <w:pPr>
        <w:pStyle w:val="BodyTextIndent"/>
        <w:spacing w:after="0" w:line="360" w:lineRule="auto"/>
        <w:ind w:firstLine="720"/>
        <w:jc w:val="both"/>
        <w:rPr>
          <w:rFonts w:ascii="Calibri" w:hAnsi="Calibri" w:cs="Arial"/>
          <w:sz w:val="20"/>
        </w:rPr>
      </w:pPr>
      <w:r>
        <w:rPr>
          <w:rFonts w:ascii="Calibri" w:hAnsi="Calibri" w:cs="Arial"/>
          <w:sz w:val="20"/>
          <w:lang w:val="en-US"/>
        </w:rPr>
        <w:lastRenderedPageBreak/>
        <w:t>J</w:t>
      </w:r>
      <w:r>
        <w:rPr>
          <w:rFonts w:ascii="Calibri" w:hAnsi="Calibri" w:cs="Arial"/>
          <w:sz w:val="20"/>
        </w:rPr>
        <w:t>ika kita lihat dari penyebab kematian ibu melahirkan yang tertinggi yaitu perdarahan, dimana paling banyak terjadi juga di Kabupaten Kotawaringin Timur.</w:t>
      </w:r>
    </w:p>
    <w:p>
      <w:pPr>
        <w:pStyle w:val="BodyTextIndent"/>
        <w:spacing w:after="0" w:line="360" w:lineRule="auto"/>
        <w:ind w:firstLine="709"/>
        <w:jc w:val="both"/>
        <w:rPr>
          <w:rFonts w:ascii="Calibri" w:hAnsi="Calibri" w:cs="Calibri"/>
          <w:bCs/>
          <w:i/>
          <w:sz w:val="20"/>
        </w:rPr>
      </w:pPr>
      <w:r>
        <w:rPr>
          <w:rFonts w:ascii="Calibri" w:hAnsi="Calibri"/>
          <w:sz w:val="20"/>
        </w:rPr>
        <w:t xml:space="preserve">Upaya menurunkan angka kematian ibu pada dasarnya mengacu kepada intervensi strategis “Empat Pilar </w:t>
      </w:r>
      <w:r>
        <w:rPr>
          <w:rFonts w:ascii="Calibri" w:hAnsi="Calibri"/>
          <w:i/>
          <w:sz w:val="20"/>
        </w:rPr>
        <w:t>Safe Motherhood</w:t>
      </w:r>
      <w:r>
        <w:rPr>
          <w:rFonts w:ascii="Calibri" w:hAnsi="Calibri"/>
          <w:sz w:val="20"/>
        </w:rPr>
        <w:t xml:space="preserve">”, dimana salah satunya yaitu akses terhadap pelayanan pemeriksaan kehamilan yang mutunya masih perlu ditingkatkan terus. Pemeriksaan kehamilan yang baik dan tersedianya fasilitas rujukan bagi kasus risiko tinggi dapat menurunkan angka kematian ibu. Petugas kesehatan seharusnya dapat mengidentifikasi faktor-faktor risiko yang berhubungan dengan usia, paritas, riwayat kehamilan yang buruk, dan perdarahan selama kehamilan. Kematian ibu juga diwarnai oleh hal-hal nonteknis yang masuk kategori penyebab mendasar, seperti taraf pengetahuan, sikap, dan perilaku ibu hamil yang masih rendah, serta melewati pentingnya pemeriksaan kehamilan dengan melihat angka kunjungan pemeriksaan kehamilan (K4), serta asupan </w:t>
      </w:r>
      <w:r>
        <w:rPr>
          <w:rFonts w:ascii="Calibri" w:hAnsi="Calibri" w:cs="Calibri"/>
          <w:bCs/>
          <w:sz w:val="20"/>
        </w:rPr>
        <w:t>Tablet Tambah Darah (TTD)</w:t>
      </w:r>
      <w:r>
        <w:rPr>
          <w:rFonts w:ascii="Calibri" w:hAnsi="Calibri"/>
          <w:sz w:val="20"/>
        </w:rPr>
        <w:t xml:space="preserve">. </w:t>
      </w:r>
    </w:p>
    <w:p>
      <w:pPr>
        <w:pStyle w:val="NormalWeb"/>
        <w:spacing w:before="0" w:beforeAutospacing="0" w:after="0" w:afterAutospacing="0" w:line="360" w:lineRule="auto"/>
        <w:ind w:left="284" w:firstLine="567"/>
        <w:jc w:val="both"/>
        <w:rPr>
          <w:rFonts w:ascii="Calibri" w:hAnsi="Calibri"/>
          <w:sz w:val="20"/>
          <w:szCs w:val="20"/>
        </w:rPr>
      </w:pPr>
      <w:r>
        <w:rPr>
          <w:rFonts w:ascii="Calibri" w:hAnsi="Calibri"/>
          <w:sz w:val="20"/>
        </w:rPr>
        <w:t xml:space="preserve">Ibu hamil memerlukan asupan zat besi yang cukup. </w:t>
      </w:r>
      <w:r>
        <w:rPr>
          <w:rFonts w:ascii="Calibri" w:hAnsi="Calibri"/>
          <w:sz w:val="20"/>
          <w:szCs w:val="20"/>
        </w:rPr>
        <w:t xml:space="preserve">Zat besi bagi ibu hamil penting untuk pembentukan dan mempertahankan sel darah merah. Kecukupan sel darah merah akan menjamin sirkulasi oksigen dan metabolisme zat-zat gizi yang dibutuhkan ibu hamil. Selain itu, jika asupan zat besi sejak awal kehamilan cukup baik, maka janin akan menggunakannya untuk kebutuhan tumbuh kembangnya, sekaligus menyimpannya dalam hati sebagai cadangan sampai usia 6 bulan setelah dilahirkan. Selama hamil asupan zat besi harus ditambah sebanyak 20 mg/hari. Hal ini mengingat selama kehamilan, volume darah pada tubuh ibu meningkat 40 sampai 60 </w:t>
      </w:r>
      <w:r>
        <w:rPr>
          <w:rFonts w:ascii="Calibri" w:hAnsi="Calibri"/>
          <w:sz w:val="20"/>
          <w:szCs w:val="20"/>
        </w:rPr>
        <w:lastRenderedPageBreak/>
        <w:t xml:space="preserve">persen untuk memenuhi kebutuhan ibu dan menyuplai makanan serta oksigen pada janin melalui plasenta. </w:t>
      </w:r>
      <w:r>
        <w:rPr>
          <w:rFonts w:ascii="Calibri" w:hAnsi="Calibri"/>
          <w:sz w:val="20"/>
        </w:rPr>
        <w:t>Di awal kehamilan zat besi diperlukan untuk pembentukan sel darah merah bagi ibu dan janin</w:t>
      </w:r>
      <w:r>
        <w:rPr>
          <w:rFonts w:ascii="Calibri" w:hAnsi="Calibri"/>
          <w:sz w:val="20"/>
          <w:szCs w:val="20"/>
        </w:rPr>
        <w:t>. Ibu hamil yang kurang zat besi akan mengalami gejala lemah, letih, lesu, tidak bergairah, mudah pusing, mata berkunang-kunang, gelisah, mudah pingsan, nafsu makan menurun, dan badan tidak bugar.</w:t>
      </w:r>
    </w:p>
    <w:p>
      <w:pPr>
        <w:pStyle w:val="NormalWeb"/>
        <w:spacing w:before="0" w:beforeAutospacing="0" w:after="0" w:afterAutospacing="0" w:line="360" w:lineRule="auto"/>
        <w:ind w:left="284" w:firstLine="567"/>
        <w:jc w:val="both"/>
        <w:rPr>
          <w:rFonts w:ascii="Calibri" w:hAnsi="Calibri"/>
          <w:sz w:val="20"/>
          <w:szCs w:val="20"/>
        </w:rPr>
      </w:pPr>
      <w:r>
        <w:rPr>
          <w:rFonts w:ascii="Calibri" w:hAnsi="Calibri"/>
          <w:sz w:val="20"/>
          <w:szCs w:val="20"/>
        </w:rPr>
        <w:t>Kekurangan zat besi sejak sebelum hamil bila tidak diatasi dapat mengakibatkan ibu hamil menderita anemia. Kondisi ini meningkatkan risiko kematian pada saat melahirkan, melahirkan bayi dengan berat badan lahir rendah, janin dan ibu mudah terkena infeksi, dan keguguran. Selain itu, jika ibu kekurangan zat besi selama hamil, maka persediaan zat besi pada bayi saat dilahirkan pun tidak akan memadai. Padahal zat besi sangat dibutuhkan untuk perkembangan otak bayi di awal kelahirannya.</w:t>
      </w:r>
    </w:p>
    <w:p>
      <w:pPr>
        <w:pStyle w:val="NormalWeb"/>
        <w:spacing w:before="0" w:beforeAutospacing="0" w:after="0" w:afterAutospacing="0" w:line="360" w:lineRule="auto"/>
        <w:ind w:left="284" w:firstLine="567"/>
        <w:jc w:val="both"/>
        <w:rPr>
          <w:rFonts w:ascii="Calibri" w:hAnsi="Calibri"/>
          <w:sz w:val="20"/>
          <w:szCs w:val="20"/>
        </w:rPr>
      </w:pPr>
      <w:r>
        <w:rPr>
          <w:rFonts w:ascii="Calibri" w:hAnsi="Calibri"/>
          <w:sz w:val="20"/>
          <w:szCs w:val="20"/>
        </w:rPr>
        <w:t>Untuk memenuhi kebutuhan akan zat besi selama hamil, ibu harus mengkonsumsi zat besi sekitar 45-50 mg sehari. Kebutuhan ini dapat terpenuhi dari makanan yang kaya akan zat besi, seperti daging berwarna merah, hati, ikan, kuning telur, sayuran berdaun hijau, kacang-kacangan, tempe, roti, dan serelia. Agar zat besi lebih mudah diserap, sebaiknya dikonsumsi bersamaan dengan buah-buahan yang mengandung vitamin C.</w:t>
      </w:r>
    </w:p>
    <w:p>
      <w:pPr>
        <w:pStyle w:val="NormalWeb"/>
        <w:spacing w:before="0" w:beforeAutospacing="0" w:after="0" w:afterAutospacing="0" w:line="360" w:lineRule="auto"/>
        <w:ind w:left="284" w:firstLine="567"/>
        <w:jc w:val="both"/>
        <w:rPr>
          <w:rFonts w:ascii="Calibri" w:hAnsi="Calibri" w:cs="Calibri"/>
          <w:bCs/>
          <w:sz w:val="20"/>
        </w:rPr>
      </w:pPr>
      <w:r>
        <w:rPr>
          <w:rFonts w:ascii="Calibri" w:hAnsi="Calibri" w:cs="Calibri"/>
          <w:bCs/>
          <w:sz w:val="20"/>
        </w:rPr>
        <w:t xml:space="preserve">Berdasarkan Tabel 5.5 berikut, terlihat bahwa lebih dari 50% jumlah ibu hamil di Kalimantan Tengah telah mendapatkan Tablet Tambah Darah (TTD), yakni sebanyak 87,57 persen. Kabupaten Barito Selatan merupakan kabupaten dengan persentase jumlah ibu hamil yang mendapatkan Tablet Tambah Darah (TTD) terendah, yakni hanya sebesar 72,83%. Sedangkan Kabupaten Barito Utara merupakan kabupaten dengan pemberian Tablet </w:t>
      </w:r>
      <w:r>
        <w:rPr>
          <w:rFonts w:ascii="Calibri" w:hAnsi="Calibri" w:cs="Calibri"/>
          <w:bCs/>
          <w:sz w:val="20"/>
        </w:rPr>
        <w:lastRenderedPageBreak/>
        <w:t>Tambah Darah (TTD) untuk ibu hamil tertinggi di Kalimantan Tengah, yakni sebesar 96,79 persen.</w:t>
      </w:r>
    </w:p>
    <w:p>
      <w:pPr>
        <w:pStyle w:val="Caption"/>
        <w:ind w:left="1418" w:hanging="1134"/>
        <w:rPr>
          <w:rFonts w:ascii="Calibri" w:hAnsi="Calibri" w:cs="Arial"/>
          <w:b/>
          <w:bCs/>
          <w:i w:val="0"/>
          <w:iCs w:val="0"/>
          <w:color w:val="auto"/>
          <w:sz w:val="20"/>
          <w:szCs w:val="20"/>
        </w:rPr>
      </w:pPr>
      <w:bookmarkStart w:id="82" w:name="_Toc118716957"/>
      <w:r>
        <w:rPr>
          <w:b/>
          <w:bCs/>
          <w:i w:val="0"/>
          <w:iCs w:val="0"/>
          <w:color w:val="auto"/>
        </w:rPr>
        <w:t xml:space="preserve">Tabel 5. </w:t>
      </w:r>
      <w:r>
        <w:rPr>
          <w:b/>
          <w:bCs/>
          <w:i w:val="0"/>
          <w:iCs w:val="0"/>
          <w:color w:val="auto"/>
        </w:rPr>
        <w:fldChar w:fldCharType="begin"/>
      </w:r>
      <w:r>
        <w:rPr>
          <w:b/>
          <w:bCs/>
          <w:i w:val="0"/>
          <w:iCs w:val="0"/>
          <w:color w:val="auto"/>
        </w:rPr>
        <w:instrText xml:space="preserve"> SEQ Tabel_5. \* ARABIC </w:instrText>
      </w:r>
      <w:r>
        <w:rPr>
          <w:b/>
          <w:bCs/>
          <w:i w:val="0"/>
          <w:iCs w:val="0"/>
          <w:color w:val="auto"/>
        </w:rPr>
        <w:fldChar w:fldCharType="separate"/>
      </w:r>
      <w:r>
        <w:rPr>
          <w:b/>
          <w:bCs/>
          <w:i w:val="0"/>
          <w:iCs w:val="0"/>
          <w:noProof/>
          <w:color w:val="auto"/>
        </w:rPr>
        <w:t>4</w:t>
      </w:r>
      <w:bookmarkEnd w:id="81"/>
      <w:r>
        <w:rPr>
          <w:b/>
          <w:bCs/>
          <w:i w:val="0"/>
          <w:iCs w:val="0"/>
          <w:color w:val="auto"/>
        </w:rPr>
        <w:fldChar w:fldCharType="end"/>
      </w:r>
      <w:r>
        <w:rPr>
          <w:b/>
          <w:bCs/>
          <w:i w:val="0"/>
          <w:iCs w:val="0"/>
          <w:color w:val="auto"/>
          <w:lang w:val="en-US"/>
        </w:rPr>
        <w:t xml:space="preserve"> </w:t>
      </w:r>
      <w:r>
        <w:rPr>
          <w:b/>
          <w:bCs/>
          <w:i w:val="0"/>
          <w:iCs w:val="0"/>
          <w:color w:val="auto"/>
          <w:lang w:val="en-US"/>
        </w:rPr>
        <w:tab/>
      </w:r>
      <w:r>
        <w:rPr>
          <w:rFonts w:ascii="Calibri" w:hAnsi="Calibri" w:cs="Arial"/>
          <w:b/>
          <w:bCs/>
          <w:i w:val="0"/>
          <w:iCs w:val="0"/>
          <w:color w:val="auto"/>
          <w:sz w:val="20"/>
          <w:szCs w:val="20"/>
        </w:rPr>
        <w:t>Persentase Ibu Hamil yang Mendapat Tablet Zat Besi (Fe) Menurut Kabupaten/Kota, 2021</w:t>
      </w:r>
      <w:bookmarkEnd w:id="82"/>
    </w:p>
    <w:tbl>
      <w:tblPr>
        <w:tblW w:w="6344"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50"/>
        <w:gridCol w:w="3194"/>
      </w:tblGrid>
      <w:tr>
        <w:trPr>
          <w:cantSplit/>
          <w:trHeight w:val="397"/>
        </w:trPr>
        <w:tc>
          <w:tcPr>
            <w:tcW w:w="3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cstheme="minorHAnsi"/>
                <w:b/>
                <w:bCs/>
                <w:snapToGrid w:val="0"/>
                <w:color w:val="FFFFFF" w:themeColor="background1"/>
                <w:sz w:val="18"/>
                <w:szCs w:val="18"/>
              </w:rPr>
            </w:pPr>
            <w:r>
              <w:rPr>
                <w:rFonts w:cstheme="minorHAnsi"/>
                <w:b/>
                <w:bCs/>
                <w:snapToGrid w:val="0"/>
                <w:color w:val="FFFFFF" w:themeColor="background1"/>
                <w:sz w:val="18"/>
                <w:szCs w:val="18"/>
              </w:rPr>
              <w:t>Kabupaten/Kota</w:t>
            </w:r>
          </w:p>
        </w:tc>
        <w:tc>
          <w:tcPr>
            <w:tcW w:w="31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line="240" w:lineRule="auto"/>
              <w:jc w:val="center"/>
              <w:rPr>
                <w:rFonts w:cstheme="minorHAnsi"/>
                <w:b/>
                <w:bCs/>
                <w:snapToGrid w:val="0"/>
                <w:color w:val="FFFFFF" w:themeColor="background1"/>
                <w:sz w:val="18"/>
                <w:szCs w:val="18"/>
              </w:rPr>
            </w:pPr>
            <w:r>
              <w:rPr>
                <w:rFonts w:cstheme="minorHAnsi"/>
                <w:b/>
                <w:bCs/>
                <w:snapToGrid w:val="0"/>
                <w:color w:val="FFFFFF" w:themeColor="background1"/>
                <w:sz w:val="18"/>
                <w:szCs w:val="18"/>
              </w:rPr>
              <w:t>Jumlah Ibu Hamil Yang Mendapat Tablet Tambah Darah (TTD) (%)</w:t>
            </w:r>
          </w:p>
        </w:tc>
      </w:tr>
      <w:tr>
        <w:trPr>
          <w:cantSplit/>
          <w:trHeight w:val="227"/>
        </w:trPr>
        <w:tc>
          <w:tcPr>
            <w:tcW w:w="3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cstheme="minorHAnsi"/>
                <w:snapToGrid w:val="0"/>
                <w:color w:val="FFFFFF" w:themeColor="background1"/>
                <w:sz w:val="18"/>
                <w:szCs w:val="18"/>
              </w:rPr>
            </w:pPr>
            <w:r>
              <w:rPr>
                <w:rFonts w:cstheme="minorHAnsi"/>
                <w:snapToGrid w:val="0"/>
                <w:color w:val="FFFFFF" w:themeColor="background1"/>
                <w:sz w:val="18"/>
                <w:szCs w:val="18"/>
              </w:rPr>
              <w:t>(1)</w:t>
            </w:r>
          </w:p>
        </w:tc>
        <w:tc>
          <w:tcPr>
            <w:tcW w:w="31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tcPr>
          <w:p>
            <w:pPr>
              <w:spacing w:after="0"/>
              <w:jc w:val="center"/>
              <w:rPr>
                <w:rFonts w:cstheme="minorHAnsi"/>
                <w:snapToGrid w:val="0"/>
                <w:color w:val="FFFFFF" w:themeColor="background1"/>
                <w:sz w:val="18"/>
                <w:szCs w:val="18"/>
              </w:rPr>
            </w:pPr>
            <w:r>
              <w:rPr>
                <w:rFonts w:cstheme="minorHAnsi"/>
                <w:snapToGrid w:val="0"/>
                <w:color w:val="FFFFFF" w:themeColor="background1"/>
                <w:sz w:val="18"/>
                <w:szCs w:val="18"/>
              </w:rPr>
              <w:t>(6)</w:t>
            </w:r>
          </w:p>
        </w:tc>
      </w:tr>
      <w:tr>
        <w:trPr>
          <w:cantSplit/>
          <w:trHeight w:val="340"/>
        </w:trPr>
        <w:tc>
          <w:tcPr>
            <w:tcW w:w="3150" w:type="dxa"/>
            <w:tcBorders>
              <w:top w:val="single" w:sz="4" w:space="0" w:color="FFFFFF" w:themeColor="background1"/>
            </w:tcBorders>
            <w:shd w:val="clear" w:color="auto" w:fill="EAF1DD" w:themeFill="accent3"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Kotawaringin Barat</w:t>
            </w:r>
          </w:p>
        </w:tc>
        <w:tc>
          <w:tcPr>
            <w:tcW w:w="3194" w:type="dxa"/>
            <w:tcBorders>
              <w:top w:val="single" w:sz="4" w:space="0" w:color="FFFFFF" w:themeColor="background1"/>
            </w:tcBorders>
            <w:shd w:val="clear" w:color="auto" w:fill="EAF1DD" w:themeFill="accent3"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91,84</w:t>
            </w:r>
          </w:p>
        </w:tc>
      </w:tr>
      <w:tr>
        <w:trPr>
          <w:cantSplit/>
          <w:trHeight w:val="340"/>
        </w:trPr>
        <w:tc>
          <w:tcPr>
            <w:tcW w:w="3150" w:type="dxa"/>
            <w:shd w:val="clear" w:color="auto" w:fill="E5DFEC" w:themeFill="accent4"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Kotawaringin Timur</w:t>
            </w:r>
          </w:p>
        </w:tc>
        <w:tc>
          <w:tcPr>
            <w:tcW w:w="3194" w:type="dxa"/>
            <w:shd w:val="clear" w:color="auto" w:fill="E5DFEC" w:themeFill="accent4"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82,63</w:t>
            </w:r>
          </w:p>
        </w:tc>
      </w:tr>
      <w:tr>
        <w:trPr>
          <w:cantSplit/>
          <w:trHeight w:val="340"/>
        </w:trPr>
        <w:tc>
          <w:tcPr>
            <w:tcW w:w="3150" w:type="dxa"/>
            <w:shd w:val="clear" w:color="auto" w:fill="EAF1DD" w:themeFill="accent3"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Kapuas</w:t>
            </w:r>
          </w:p>
        </w:tc>
        <w:tc>
          <w:tcPr>
            <w:tcW w:w="3194" w:type="dxa"/>
            <w:shd w:val="clear" w:color="auto" w:fill="EAF1DD" w:themeFill="accent3"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93,52</w:t>
            </w:r>
          </w:p>
        </w:tc>
      </w:tr>
      <w:tr>
        <w:trPr>
          <w:cantSplit/>
          <w:trHeight w:val="340"/>
        </w:trPr>
        <w:tc>
          <w:tcPr>
            <w:tcW w:w="3150" w:type="dxa"/>
            <w:shd w:val="clear" w:color="auto" w:fill="E5DFEC" w:themeFill="accent4"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Barito Selatan</w:t>
            </w:r>
          </w:p>
        </w:tc>
        <w:tc>
          <w:tcPr>
            <w:tcW w:w="3194" w:type="dxa"/>
            <w:shd w:val="clear" w:color="auto" w:fill="E5DFEC" w:themeFill="accent4"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72,83</w:t>
            </w:r>
          </w:p>
        </w:tc>
      </w:tr>
      <w:tr>
        <w:trPr>
          <w:cantSplit/>
          <w:trHeight w:val="340"/>
        </w:trPr>
        <w:tc>
          <w:tcPr>
            <w:tcW w:w="3150" w:type="dxa"/>
            <w:shd w:val="clear" w:color="auto" w:fill="EAF1DD" w:themeFill="accent3"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Barito Utara</w:t>
            </w:r>
          </w:p>
        </w:tc>
        <w:tc>
          <w:tcPr>
            <w:tcW w:w="3194" w:type="dxa"/>
            <w:shd w:val="clear" w:color="auto" w:fill="EAF1DD" w:themeFill="accent3"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96,79</w:t>
            </w:r>
          </w:p>
        </w:tc>
      </w:tr>
      <w:tr>
        <w:trPr>
          <w:cantSplit/>
          <w:trHeight w:val="340"/>
        </w:trPr>
        <w:tc>
          <w:tcPr>
            <w:tcW w:w="3150" w:type="dxa"/>
            <w:shd w:val="clear" w:color="auto" w:fill="E5DFEC" w:themeFill="accent4"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Sukamara</w:t>
            </w:r>
          </w:p>
        </w:tc>
        <w:tc>
          <w:tcPr>
            <w:tcW w:w="3194" w:type="dxa"/>
            <w:shd w:val="clear" w:color="auto" w:fill="E5DFEC" w:themeFill="accent4"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92,21</w:t>
            </w:r>
          </w:p>
        </w:tc>
      </w:tr>
      <w:tr>
        <w:trPr>
          <w:cantSplit/>
          <w:trHeight w:val="340"/>
        </w:trPr>
        <w:tc>
          <w:tcPr>
            <w:tcW w:w="3150" w:type="dxa"/>
            <w:shd w:val="clear" w:color="auto" w:fill="EAF1DD" w:themeFill="accent3"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Lamandau</w:t>
            </w:r>
          </w:p>
        </w:tc>
        <w:tc>
          <w:tcPr>
            <w:tcW w:w="3194" w:type="dxa"/>
            <w:shd w:val="clear" w:color="auto" w:fill="EAF1DD" w:themeFill="accent3"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94,75</w:t>
            </w:r>
          </w:p>
        </w:tc>
      </w:tr>
      <w:tr>
        <w:trPr>
          <w:cantSplit/>
          <w:trHeight w:val="340"/>
        </w:trPr>
        <w:tc>
          <w:tcPr>
            <w:tcW w:w="3150" w:type="dxa"/>
            <w:shd w:val="clear" w:color="auto" w:fill="E5DFEC" w:themeFill="accent4"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Seruyan</w:t>
            </w:r>
          </w:p>
        </w:tc>
        <w:tc>
          <w:tcPr>
            <w:tcW w:w="3194" w:type="dxa"/>
            <w:shd w:val="clear" w:color="auto" w:fill="E5DFEC" w:themeFill="accent4"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82,88</w:t>
            </w:r>
          </w:p>
        </w:tc>
      </w:tr>
      <w:tr>
        <w:trPr>
          <w:cantSplit/>
          <w:trHeight w:val="340"/>
        </w:trPr>
        <w:tc>
          <w:tcPr>
            <w:tcW w:w="3150" w:type="dxa"/>
            <w:shd w:val="clear" w:color="auto" w:fill="EAF1DD" w:themeFill="accent3"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Katingan</w:t>
            </w:r>
          </w:p>
        </w:tc>
        <w:tc>
          <w:tcPr>
            <w:tcW w:w="3194" w:type="dxa"/>
            <w:shd w:val="clear" w:color="auto" w:fill="EAF1DD" w:themeFill="accent3"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79,83</w:t>
            </w:r>
          </w:p>
        </w:tc>
      </w:tr>
      <w:tr>
        <w:trPr>
          <w:cantSplit/>
          <w:trHeight w:val="340"/>
        </w:trPr>
        <w:tc>
          <w:tcPr>
            <w:tcW w:w="3150" w:type="dxa"/>
            <w:shd w:val="clear" w:color="auto" w:fill="E5DFEC" w:themeFill="accent4"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Pulang Pisau</w:t>
            </w:r>
          </w:p>
        </w:tc>
        <w:tc>
          <w:tcPr>
            <w:tcW w:w="3194" w:type="dxa"/>
            <w:shd w:val="clear" w:color="auto" w:fill="E5DFEC" w:themeFill="accent4"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93,03</w:t>
            </w:r>
          </w:p>
        </w:tc>
      </w:tr>
      <w:tr>
        <w:trPr>
          <w:cantSplit/>
          <w:trHeight w:val="340"/>
        </w:trPr>
        <w:tc>
          <w:tcPr>
            <w:tcW w:w="3150" w:type="dxa"/>
            <w:shd w:val="clear" w:color="auto" w:fill="EAF1DD" w:themeFill="accent3"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Gunung Mas</w:t>
            </w:r>
          </w:p>
        </w:tc>
        <w:tc>
          <w:tcPr>
            <w:tcW w:w="3194" w:type="dxa"/>
            <w:shd w:val="clear" w:color="auto" w:fill="EAF1DD" w:themeFill="accent3"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92,84</w:t>
            </w:r>
          </w:p>
        </w:tc>
      </w:tr>
      <w:tr>
        <w:trPr>
          <w:cantSplit/>
          <w:trHeight w:val="340"/>
        </w:trPr>
        <w:tc>
          <w:tcPr>
            <w:tcW w:w="3150" w:type="dxa"/>
            <w:shd w:val="clear" w:color="auto" w:fill="E5DFEC" w:themeFill="accent4"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Barito Timur</w:t>
            </w:r>
          </w:p>
        </w:tc>
        <w:tc>
          <w:tcPr>
            <w:tcW w:w="3194" w:type="dxa"/>
            <w:shd w:val="clear" w:color="auto" w:fill="E5DFEC" w:themeFill="accent4"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85,67</w:t>
            </w:r>
          </w:p>
        </w:tc>
      </w:tr>
      <w:tr>
        <w:trPr>
          <w:cantSplit/>
          <w:trHeight w:val="340"/>
        </w:trPr>
        <w:tc>
          <w:tcPr>
            <w:tcW w:w="3150" w:type="dxa"/>
            <w:shd w:val="clear" w:color="auto" w:fill="EAF1DD" w:themeFill="accent3"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Murung Raya</w:t>
            </w:r>
          </w:p>
        </w:tc>
        <w:tc>
          <w:tcPr>
            <w:tcW w:w="3194" w:type="dxa"/>
            <w:shd w:val="clear" w:color="auto" w:fill="EAF1DD" w:themeFill="accent3"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84,55</w:t>
            </w:r>
          </w:p>
        </w:tc>
      </w:tr>
      <w:tr>
        <w:trPr>
          <w:cantSplit/>
          <w:trHeight w:val="340"/>
        </w:trPr>
        <w:tc>
          <w:tcPr>
            <w:tcW w:w="3150" w:type="dxa"/>
            <w:shd w:val="clear" w:color="auto" w:fill="E5DFEC" w:themeFill="accent4" w:themeFillTint="33"/>
            <w:vAlign w:val="center"/>
          </w:tcPr>
          <w:p>
            <w:pPr>
              <w:spacing w:after="0"/>
              <w:ind w:left="109"/>
              <w:rPr>
                <w:rFonts w:cstheme="minorHAnsi"/>
                <w:color w:val="000000" w:themeColor="text1"/>
                <w:sz w:val="18"/>
                <w:szCs w:val="18"/>
              </w:rPr>
            </w:pPr>
            <w:r>
              <w:rPr>
                <w:rFonts w:cstheme="minorHAnsi"/>
                <w:color w:val="000000" w:themeColor="text1"/>
                <w:sz w:val="18"/>
                <w:szCs w:val="18"/>
              </w:rPr>
              <w:t>Palangka Raya</w:t>
            </w:r>
          </w:p>
        </w:tc>
        <w:tc>
          <w:tcPr>
            <w:tcW w:w="3194" w:type="dxa"/>
            <w:shd w:val="clear" w:color="auto" w:fill="E5DFEC" w:themeFill="accent4" w:themeFillTint="33"/>
            <w:vAlign w:val="center"/>
          </w:tcPr>
          <w:p>
            <w:pPr>
              <w:spacing w:after="0"/>
              <w:jc w:val="center"/>
              <w:rPr>
                <w:rFonts w:cstheme="minorHAnsi"/>
                <w:color w:val="000000" w:themeColor="text1"/>
                <w:sz w:val="18"/>
                <w:szCs w:val="18"/>
              </w:rPr>
            </w:pPr>
            <w:r>
              <w:rPr>
                <w:rFonts w:cstheme="minorHAnsi"/>
                <w:color w:val="000000" w:themeColor="text1"/>
                <w:sz w:val="18"/>
                <w:szCs w:val="18"/>
              </w:rPr>
              <w:t>90,77</w:t>
            </w:r>
          </w:p>
        </w:tc>
      </w:tr>
      <w:tr>
        <w:trPr>
          <w:cantSplit/>
          <w:trHeight w:val="397"/>
        </w:trPr>
        <w:tc>
          <w:tcPr>
            <w:tcW w:w="3150" w:type="dxa"/>
            <w:shd w:val="clear" w:color="auto" w:fill="EAF1DD" w:themeFill="accent3" w:themeFillTint="33"/>
            <w:vAlign w:val="center"/>
          </w:tcPr>
          <w:p>
            <w:pPr>
              <w:spacing w:after="0"/>
              <w:ind w:left="109"/>
              <w:rPr>
                <w:rFonts w:cstheme="minorHAnsi"/>
                <w:b/>
                <w:color w:val="000000" w:themeColor="text1"/>
                <w:sz w:val="18"/>
                <w:szCs w:val="18"/>
              </w:rPr>
            </w:pPr>
            <w:r>
              <w:rPr>
                <w:rFonts w:cstheme="minorHAnsi"/>
                <w:b/>
                <w:color w:val="000000" w:themeColor="text1"/>
                <w:sz w:val="18"/>
                <w:szCs w:val="18"/>
              </w:rPr>
              <w:t>Kalimantan Tengah</w:t>
            </w:r>
          </w:p>
        </w:tc>
        <w:tc>
          <w:tcPr>
            <w:tcW w:w="3194" w:type="dxa"/>
            <w:shd w:val="clear" w:color="auto" w:fill="EAF1DD" w:themeFill="accent3" w:themeFillTint="33"/>
            <w:vAlign w:val="center"/>
          </w:tcPr>
          <w:p>
            <w:pPr>
              <w:spacing w:after="0"/>
              <w:jc w:val="center"/>
              <w:rPr>
                <w:rFonts w:cstheme="minorHAnsi"/>
                <w:b/>
                <w:color w:val="000000" w:themeColor="text1"/>
                <w:sz w:val="18"/>
                <w:szCs w:val="18"/>
              </w:rPr>
            </w:pPr>
            <w:r>
              <w:rPr>
                <w:rFonts w:cstheme="minorHAnsi"/>
                <w:b/>
                <w:color w:val="000000" w:themeColor="text1"/>
                <w:sz w:val="18"/>
                <w:szCs w:val="18"/>
              </w:rPr>
              <w:t>87,57</w:t>
            </w:r>
          </w:p>
        </w:tc>
      </w:tr>
    </w:tbl>
    <w:p>
      <w:pPr>
        <w:ind w:left="284"/>
        <w:rPr>
          <w:rFonts w:cstheme="minorHAnsi"/>
          <w:bCs/>
          <w:i/>
          <w:color w:val="000000" w:themeColor="text1"/>
          <w:sz w:val="16"/>
          <w:szCs w:val="16"/>
        </w:rPr>
      </w:pPr>
      <w:r>
        <w:rPr>
          <w:rFonts w:cstheme="minorHAnsi"/>
          <w:bCs/>
          <w:i/>
          <w:color w:val="000000" w:themeColor="text1"/>
          <w:sz w:val="16"/>
          <w:szCs w:val="16"/>
        </w:rPr>
        <w:t>Sumber: Profil Kesehatan Kabupaten/Kota dan Bidang Kesmas Dinkes Prov. Kalteng Tahun 2022</w:t>
      </w:r>
    </w:p>
    <w:p>
      <w:pPr>
        <w:rPr>
          <w:rFonts w:cstheme="minorHAnsi"/>
          <w:bCs/>
          <w:i/>
          <w:color w:val="000000" w:themeColor="text1"/>
          <w:sz w:val="18"/>
          <w:szCs w:val="18"/>
        </w:rPr>
      </w:pPr>
    </w:p>
    <w:p>
      <w:pPr>
        <w:rPr>
          <w:rFonts w:cstheme="minorHAnsi"/>
          <w:color w:val="000000" w:themeColor="text1"/>
          <w:sz w:val="18"/>
          <w:szCs w:val="18"/>
          <w:lang w:val="en-US"/>
        </w:rPr>
      </w:pPr>
    </w:p>
    <w:p>
      <w:pPr>
        <w:rPr>
          <w:rFonts w:cstheme="minorHAnsi"/>
          <w:color w:val="000000" w:themeColor="text1"/>
          <w:sz w:val="18"/>
          <w:szCs w:val="18"/>
          <w:lang w:val="en-US"/>
        </w:rPr>
      </w:pPr>
    </w:p>
    <w:p>
      <w:pPr>
        <w:pStyle w:val="Heading2"/>
        <w:numPr>
          <w:ilvl w:val="0"/>
          <w:numId w:val="0"/>
        </w:numPr>
        <w:ind w:left="709" w:hanging="425"/>
        <w:rPr>
          <w:rFonts w:asciiTheme="minorHAnsi" w:hAnsiTheme="minorHAnsi" w:cstheme="minorHAnsi"/>
          <w:sz w:val="20"/>
          <w:szCs w:val="20"/>
          <w:lang w:val="en-US"/>
        </w:rPr>
      </w:pPr>
      <w:bookmarkStart w:id="83" w:name="_Toc118715992"/>
      <w:r>
        <w:rPr>
          <w:rFonts w:asciiTheme="minorHAnsi" w:hAnsiTheme="minorHAnsi" w:cstheme="minorHAnsi"/>
          <w:sz w:val="20"/>
          <w:szCs w:val="20"/>
          <w:lang w:val="en-US"/>
        </w:rPr>
        <w:lastRenderedPageBreak/>
        <w:t>5.3</w:t>
      </w:r>
      <w:r>
        <w:rPr>
          <w:rFonts w:asciiTheme="minorHAnsi" w:hAnsiTheme="minorHAnsi" w:cstheme="minorHAnsi"/>
          <w:sz w:val="20"/>
          <w:szCs w:val="20"/>
          <w:lang w:val="en-US"/>
        </w:rPr>
        <w:tab/>
        <w:t>Cakupan Pertolongan Persalinan</w:t>
      </w:r>
      <w:bookmarkEnd w:id="83"/>
    </w:p>
    <w:p>
      <w:pPr>
        <w:pStyle w:val="BodyTextIndent"/>
        <w:spacing w:after="0" w:line="360" w:lineRule="auto"/>
        <w:ind w:firstLine="709"/>
        <w:jc w:val="both"/>
        <w:rPr>
          <w:rFonts w:ascii="Calibri" w:hAnsi="Calibri"/>
          <w:sz w:val="20"/>
          <w:szCs w:val="18"/>
        </w:rPr>
      </w:pPr>
      <w:r>
        <w:rPr>
          <w:rFonts w:ascii="Calibri" w:hAnsi="Calibri"/>
          <w:sz w:val="20"/>
          <w:szCs w:val="18"/>
        </w:rPr>
        <w:t>Untuk mewujudkan peningkatan derajat dan status kesehatan penduduk,  ketersediaan dan keterjangkauan fasilitas dan sarana kesehatan yang tidak kalah pentingnya adalah tenaga penolong persalinan bayi. Hal ini berkaitan dengan upaya menurunkan angka kematian bayi dan kematian ibu saat melahirkan, dimana pemerintah mengupayakan agar para ibu hamil dapat melahirkan dengan selamat, demikian pula bayi yang dilahirkan dapat terlahir dengan sehat. Untuk itu pemerintah terus berusaha mendistribusikan tenaga kesehatan ke berbagai wilayah di Indonesia termasuk daerah-daerah terpencil yaitu daerah perdesaan agar dapat menolong para ibu hamil dengan bantuan tenaga kesehatan.</w:t>
      </w:r>
    </w:p>
    <w:p>
      <w:pPr>
        <w:pStyle w:val="BodyTextIndent"/>
        <w:spacing w:after="0" w:line="360" w:lineRule="auto"/>
        <w:ind w:firstLine="709"/>
        <w:jc w:val="both"/>
        <w:rPr>
          <w:rFonts w:ascii="Calibri" w:hAnsi="Calibri"/>
          <w:sz w:val="20"/>
          <w:szCs w:val="18"/>
        </w:rPr>
      </w:pPr>
      <w:r>
        <w:rPr>
          <w:rFonts w:ascii="Calibri" w:hAnsi="Calibri"/>
          <w:sz w:val="20"/>
          <w:szCs w:val="18"/>
        </w:rPr>
        <w:t>Jenis tenaga penolong persalinan menentukan keberhasilan persalinan dan akan berpengaruh pada kesehatan ibu dan bayi yang ditolong. Dalam hal ini persalinan yang ditolong oleh tenaga medis, seperti dokter, bidan, dan tenaga medis lainnya dianggap lebih baik dibandingkan tenaga non medis seperti dukun, famili atau lainnya, karena mereka telah mendapat bekal pendidikan dan pengetahuan formal mengenai cara pertolongan persalinan yang benar dan sehat.</w:t>
      </w:r>
    </w:p>
    <w:p>
      <w:pPr>
        <w:pStyle w:val="BodyTextIndent"/>
        <w:spacing w:line="360" w:lineRule="auto"/>
        <w:ind w:firstLine="709"/>
        <w:jc w:val="both"/>
        <w:rPr>
          <w:rFonts w:ascii="Calibri" w:hAnsi="Calibri"/>
          <w:sz w:val="20"/>
          <w:szCs w:val="18"/>
        </w:rPr>
      </w:pPr>
      <w:r>
        <w:rPr>
          <w:rFonts w:ascii="Calibri" w:hAnsi="Calibri"/>
          <w:sz w:val="20"/>
          <w:szCs w:val="18"/>
        </w:rPr>
        <w:t>Penolong persalinan adalah siapa yang menolong pada saat proses kelahiran anak (balita). Susenas BPS hingga tahun 2014, penolong persalinan ditanyakan untuk anak usia di bawah lima tahun. Namun mulai tahun 2015, penolong persalinan ditanyakan untuk wanita usia 15-49 tahun berstatus pernah kawin yang melahirkan anak dalam 2 tahun terakhir.</w:t>
      </w:r>
    </w:p>
    <w:p>
      <w:pPr>
        <w:pStyle w:val="BodyTextIndent"/>
        <w:spacing w:line="360" w:lineRule="auto"/>
        <w:ind w:firstLine="709"/>
        <w:jc w:val="both"/>
        <w:rPr>
          <w:rFonts w:ascii="Calibri" w:hAnsi="Calibri"/>
          <w:sz w:val="20"/>
          <w:szCs w:val="18"/>
          <w:lang w:val="en-US"/>
        </w:rPr>
      </w:pPr>
    </w:p>
    <w:p>
      <w:pPr>
        <w:pStyle w:val="Caption"/>
        <w:ind w:left="1418" w:hanging="1134"/>
        <w:jc w:val="both"/>
        <w:rPr>
          <w:rFonts w:hAnsi="Calibri"/>
          <w:b/>
          <w:bCs/>
          <w:i w:val="0"/>
          <w:iCs w:val="0"/>
          <w:color w:val="000000" w:themeColor="text1"/>
          <w:sz w:val="20"/>
          <w:szCs w:val="20"/>
        </w:rPr>
      </w:pPr>
      <w:bookmarkStart w:id="84" w:name="_Toc117519618"/>
      <w:r>
        <w:rPr>
          <w:b/>
          <w:bCs/>
          <w:i w:val="0"/>
          <w:iCs w:val="0"/>
          <w:color w:val="000000" w:themeColor="text1"/>
          <w:sz w:val="20"/>
          <w:szCs w:val="20"/>
        </w:rPr>
        <w:lastRenderedPageBreak/>
        <w:t xml:space="preserve">Gambar 5. </w:t>
      </w:r>
      <w:r>
        <w:rPr>
          <w:b/>
          <w:bCs/>
          <w:i w:val="0"/>
          <w:iCs w:val="0"/>
          <w:color w:val="000000" w:themeColor="text1"/>
          <w:sz w:val="20"/>
          <w:szCs w:val="20"/>
        </w:rPr>
        <w:fldChar w:fldCharType="begin"/>
      </w:r>
      <w:r>
        <w:rPr>
          <w:b/>
          <w:bCs/>
          <w:i w:val="0"/>
          <w:iCs w:val="0"/>
          <w:color w:val="000000" w:themeColor="text1"/>
          <w:sz w:val="20"/>
          <w:szCs w:val="20"/>
        </w:rPr>
        <w:instrText xml:space="preserve"> SEQ Gambar_5. \* ARABIC </w:instrText>
      </w:r>
      <w:r>
        <w:rPr>
          <w:b/>
          <w:bCs/>
          <w:i w:val="0"/>
          <w:iCs w:val="0"/>
          <w:color w:val="000000" w:themeColor="text1"/>
          <w:sz w:val="20"/>
          <w:szCs w:val="20"/>
        </w:rPr>
        <w:fldChar w:fldCharType="separate"/>
      </w:r>
      <w:r>
        <w:rPr>
          <w:b/>
          <w:bCs/>
          <w:i w:val="0"/>
          <w:iCs w:val="0"/>
          <w:noProof/>
          <w:color w:val="000000" w:themeColor="text1"/>
          <w:sz w:val="20"/>
          <w:szCs w:val="20"/>
        </w:rPr>
        <w:t>1</w:t>
      </w:r>
      <w:r>
        <w:rPr>
          <w:b/>
          <w:bCs/>
          <w:i w:val="0"/>
          <w:iCs w:val="0"/>
          <w:color w:val="000000" w:themeColor="text1"/>
          <w:sz w:val="20"/>
          <w:szCs w:val="20"/>
        </w:rPr>
        <w:fldChar w:fldCharType="end"/>
      </w:r>
      <w:r>
        <w:rPr>
          <w:b/>
          <w:bCs/>
          <w:i w:val="0"/>
          <w:iCs w:val="0"/>
          <w:color w:val="000000" w:themeColor="text1"/>
          <w:sz w:val="20"/>
          <w:szCs w:val="20"/>
        </w:rPr>
        <w:tab/>
      </w:r>
      <w:r>
        <w:rPr>
          <w:rFonts w:hAnsi="Calibri"/>
          <w:b/>
          <w:bCs/>
          <w:i w:val="0"/>
          <w:iCs w:val="0"/>
          <w:color w:val="000000" w:themeColor="text1"/>
          <w:sz w:val="20"/>
          <w:szCs w:val="20"/>
        </w:rPr>
        <w:t>Persentase Perempuan Berumur 15-49 Tahun yang Pernah Melahirkan dalam 2 Tahun Terakhir Menurut Kabupaten/Kota dan Penolong Proses Kelahiran Terakhir, 2021</w:t>
      </w:r>
      <w:bookmarkEnd w:id="84"/>
    </w:p>
    <w:p>
      <w:r>
        <w:rPr>
          <w:noProof/>
          <w:lang w:val="en-ID" w:eastAsia="en-ID"/>
        </w:rPr>
        <w:drawing>
          <wp:anchor distT="0" distB="0" distL="114300" distR="114300" simplePos="0" relativeHeight="251663360" behindDoc="0" locked="0" layoutInCell="1" allowOverlap="1">
            <wp:simplePos x="0" y="0"/>
            <wp:positionH relativeFrom="column">
              <wp:posOffset>156210</wp:posOffset>
            </wp:positionH>
            <wp:positionV relativeFrom="paragraph">
              <wp:posOffset>9524</wp:posOffset>
            </wp:positionV>
            <wp:extent cx="3737610" cy="2162175"/>
            <wp:effectExtent l="0" t="0" r="0" b="0"/>
            <wp:wrapNone/>
            <wp:docPr id="26" name="Chart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DF5088-4EDC-FE7F-B8FE-5CE4F62AF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p/>
    <w:p/>
    <w:p/>
    <w:p/>
    <w:p>
      <w:pPr>
        <w:ind w:left="284"/>
      </w:pPr>
    </w:p>
    <w:p>
      <w:pPr>
        <w:spacing w:line="240" w:lineRule="auto"/>
        <w:ind w:left="284"/>
        <w:rPr>
          <w:rFonts w:cstheme="minorHAnsi"/>
          <w:i/>
          <w:color w:val="000000" w:themeColor="text1"/>
          <w:sz w:val="16"/>
          <w:szCs w:val="16"/>
        </w:rPr>
      </w:pPr>
      <w:r>
        <w:rPr>
          <w:rFonts w:cstheme="minorHAnsi"/>
          <w:i/>
          <w:color w:val="000000" w:themeColor="text1"/>
          <w:sz w:val="16"/>
          <w:szCs w:val="16"/>
        </w:rPr>
        <w:t>Sumber : BPS, Susenas 2021</w:t>
      </w:r>
    </w:p>
    <w:p>
      <w:pPr>
        <w:spacing w:line="360" w:lineRule="auto"/>
        <w:ind w:left="284" w:firstLine="436"/>
        <w:jc w:val="both"/>
        <w:rPr>
          <w:rFonts w:cstheme="minorHAnsi"/>
          <w:i/>
          <w:color w:val="FF0000"/>
          <w:sz w:val="18"/>
          <w:szCs w:val="18"/>
        </w:rPr>
      </w:pPr>
      <w:r>
        <w:rPr>
          <w:rFonts w:ascii="Calibri" w:hAnsi="Calibri"/>
          <w:noProof/>
          <w:color w:val="000000" w:themeColor="text1"/>
          <w:sz w:val="20"/>
          <w:lang w:eastAsia="id-ID"/>
        </w:rPr>
        <w:t>Berdasarkan Gambar 5.1 di atas, terlihat bahwa semua kabupaten/kota di Kalimantan Tengah mayoritas sudah memilih tenaga medis sebagai penolong proses kelahiran terakhirnya. Sebesar 88,45 persen perempuan berumur 15-49 tahun yang pernah melahirkan dalam 2 tahun terakhir berdasarkan penolong proses kelahiran terakhir dilakukan oleh tenaga medis. Kabupaten Katingan merupakan kabupaten dengan persentase penolong kelahiran terakhir terbesar oleh tenaga medis, yakni sebesar 97,32 persen. Sedangkan Kabupaten Gunung Mas merupakan kabupaten dengan persentase penolong kelahiran terakhir terkecil oleh tenaga medis, yakni sebesar 70,20 persen.</w:t>
      </w:r>
    </w:p>
    <w:p>
      <w:pPr>
        <w:pStyle w:val="Heading2"/>
        <w:numPr>
          <w:ilvl w:val="0"/>
          <w:numId w:val="0"/>
        </w:numPr>
        <w:ind w:left="720" w:hanging="436"/>
        <w:rPr>
          <w:rFonts w:asciiTheme="minorHAnsi" w:hAnsiTheme="minorHAnsi" w:cstheme="minorHAnsi"/>
          <w:sz w:val="20"/>
          <w:szCs w:val="20"/>
          <w:lang w:val="en-US"/>
        </w:rPr>
      </w:pPr>
      <w:bookmarkStart w:id="85" w:name="_Toc118715993"/>
      <w:r>
        <w:rPr>
          <w:rFonts w:asciiTheme="minorHAnsi" w:hAnsiTheme="minorHAnsi" w:cstheme="minorHAnsi"/>
          <w:sz w:val="20"/>
          <w:szCs w:val="20"/>
          <w:lang w:val="en-US"/>
        </w:rPr>
        <w:lastRenderedPageBreak/>
        <w:t>5.4</w:t>
      </w:r>
      <w:bookmarkEnd w:id="85"/>
      <w:r>
        <w:rPr>
          <w:rFonts w:asciiTheme="minorHAnsi" w:hAnsiTheme="minorHAnsi" w:cstheme="minorHAnsi"/>
          <w:sz w:val="20"/>
          <w:szCs w:val="20"/>
          <w:lang w:val="en-US"/>
        </w:rPr>
        <w:t xml:space="preserve"> </w:t>
      </w:r>
      <w:r>
        <w:rPr>
          <w:rFonts w:asciiTheme="minorHAnsi" w:hAnsiTheme="minorHAnsi" w:cstheme="minorHAnsi"/>
          <w:sz w:val="20"/>
          <w:szCs w:val="20"/>
          <w:lang w:val="en-US"/>
        </w:rPr>
        <w:tab/>
        <w:t>Keluarga Berencana (KB)</w:t>
      </w:r>
    </w:p>
    <w:p>
      <w:pPr>
        <w:pStyle w:val="Caption"/>
        <w:ind w:left="1418" w:hanging="1134"/>
        <w:jc w:val="both"/>
        <w:rPr>
          <w:rFonts w:hAnsi="Calibri"/>
          <w:b/>
          <w:bCs/>
          <w:i w:val="0"/>
          <w:iCs w:val="0"/>
          <w:color w:val="000000" w:themeColor="text1"/>
          <w:sz w:val="20"/>
          <w:szCs w:val="20"/>
        </w:rPr>
      </w:pPr>
      <w:bookmarkStart w:id="86" w:name="_Toc117519619"/>
      <w:r>
        <w:rPr>
          <w:b/>
          <w:bCs/>
          <w:i w:val="0"/>
          <w:iCs w:val="0"/>
          <w:color w:val="000000" w:themeColor="text1"/>
          <w:sz w:val="20"/>
          <w:szCs w:val="20"/>
        </w:rPr>
        <w:t xml:space="preserve">Gambar 5. </w:t>
      </w:r>
      <w:r>
        <w:rPr>
          <w:b/>
          <w:bCs/>
          <w:i w:val="0"/>
          <w:iCs w:val="0"/>
          <w:color w:val="000000" w:themeColor="text1"/>
          <w:sz w:val="20"/>
          <w:szCs w:val="20"/>
        </w:rPr>
        <w:fldChar w:fldCharType="begin"/>
      </w:r>
      <w:r>
        <w:rPr>
          <w:b/>
          <w:bCs/>
          <w:i w:val="0"/>
          <w:iCs w:val="0"/>
          <w:color w:val="000000" w:themeColor="text1"/>
          <w:sz w:val="20"/>
          <w:szCs w:val="20"/>
        </w:rPr>
        <w:instrText xml:space="preserve"> SEQ Gambar_5. \* ARABIC </w:instrText>
      </w:r>
      <w:r>
        <w:rPr>
          <w:b/>
          <w:bCs/>
          <w:i w:val="0"/>
          <w:iCs w:val="0"/>
          <w:color w:val="000000" w:themeColor="text1"/>
          <w:sz w:val="20"/>
          <w:szCs w:val="20"/>
        </w:rPr>
        <w:fldChar w:fldCharType="separate"/>
      </w:r>
      <w:r>
        <w:rPr>
          <w:b/>
          <w:bCs/>
          <w:i w:val="0"/>
          <w:iCs w:val="0"/>
          <w:noProof/>
          <w:color w:val="000000" w:themeColor="text1"/>
          <w:sz w:val="20"/>
          <w:szCs w:val="20"/>
        </w:rPr>
        <w:t>2</w:t>
      </w:r>
      <w:r>
        <w:rPr>
          <w:b/>
          <w:bCs/>
          <w:i w:val="0"/>
          <w:iCs w:val="0"/>
          <w:color w:val="000000" w:themeColor="text1"/>
          <w:sz w:val="20"/>
          <w:szCs w:val="20"/>
        </w:rPr>
        <w:fldChar w:fldCharType="end"/>
      </w:r>
      <w:r>
        <w:rPr>
          <w:b/>
          <w:bCs/>
          <w:i w:val="0"/>
          <w:iCs w:val="0"/>
          <w:color w:val="000000" w:themeColor="text1"/>
          <w:sz w:val="20"/>
          <w:szCs w:val="20"/>
        </w:rPr>
        <w:tab/>
      </w:r>
      <w:r>
        <w:rPr>
          <w:rFonts w:hAnsi="Calibri"/>
          <w:b/>
          <w:bCs/>
          <w:i w:val="0"/>
          <w:iCs w:val="0"/>
          <w:color w:val="000000" w:themeColor="text1"/>
          <w:sz w:val="20"/>
          <w:szCs w:val="20"/>
        </w:rPr>
        <w:t>Persentase Perempuan Pernah Kawin Umur 15-49 Tahun Menurut Kabupaten/Kota dan Status Penggunaan Alat KB atau Cara Tradisional untuk Menunda atau Mencegah Kehamilan, 2021</w:t>
      </w:r>
      <w:bookmarkEnd w:id="86"/>
    </w:p>
    <w:p>
      <w:r>
        <w:rPr>
          <w:noProof/>
          <w:lang w:val="en-ID" w:eastAsia="en-ID"/>
        </w:rPr>
        <w:drawing>
          <wp:anchor distT="0" distB="0" distL="114300" distR="114300" simplePos="0" relativeHeight="251665408" behindDoc="0" locked="0" layoutInCell="1" allowOverlap="1">
            <wp:simplePos x="0" y="0"/>
            <wp:positionH relativeFrom="column">
              <wp:posOffset>204461</wp:posOffset>
            </wp:positionH>
            <wp:positionV relativeFrom="paragraph">
              <wp:posOffset>14253</wp:posOffset>
            </wp:positionV>
            <wp:extent cx="3665855" cy="2456597"/>
            <wp:effectExtent l="0" t="0" r="0" b="0"/>
            <wp:wrapNone/>
            <wp:docPr id="27" name="Chart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5ADE8E-3BF8-9D28-9B2C-64BD00D13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p/>
    <w:p/>
    <w:p/>
    <w:p/>
    <w:p/>
    <w:p>
      <w:pPr>
        <w:rPr>
          <w:rFonts w:cstheme="minorHAnsi"/>
          <w:i/>
          <w:color w:val="000000" w:themeColor="text1"/>
          <w:sz w:val="18"/>
          <w:szCs w:val="18"/>
        </w:rPr>
      </w:pPr>
    </w:p>
    <w:p>
      <w:pPr>
        <w:ind w:left="284"/>
        <w:rPr>
          <w:rFonts w:cstheme="minorHAnsi"/>
          <w:i/>
          <w:color w:val="FF0000"/>
          <w:sz w:val="18"/>
          <w:szCs w:val="18"/>
        </w:rPr>
      </w:pPr>
      <w:r>
        <w:rPr>
          <w:rFonts w:cstheme="minorHAnsi"/>
          <w:i/>
          <w:color w:val="000000" w:themeColor="text1"/>
          <w:sz w:val="18"/>
          <w:szCs w:val="18"/>
        </w:rPr>
        <w:t>Sumber : BPS, Susenas 2021</w:t>
      </w:r>
    </w:p>
    <w:p>
      <w:pPr>
        <w:spacing w:after="0" w:line="360" w:lineRule="auto"/>
        <w:ind w:left="284" w:firstLine="567"/>
        <w:jc w:val="both"/>
        <w:rPr>
          <w:rFonts w:ascii="Calibri" w:hAnsi="Calibri"/>
          <w:sz w:val="20"/>
          <w:szCs w:val="18"/>
        </w:rPr>
      </w:pPr>
      <w:r>
        <w:rPr>
          <w:rFonts w:ascii="Calibri" w:hAnsi="Calibri"/>
          <w:color w:val="000000" w:themeColor="text1"/>
          <w:sz w:val="20"/>
          <w:szCs w:val="18"/>
        </w:rPr>
        <w:t xml:space="preserve">Sasaran program KB adalah bukan hanya ditujukan kepada pencapaian jumlah peserta KB saja, </w:t>
      </w:r>
      <w:r>
        <w:rPr>
          <w:rFonts w:ascii="Calibri" w:hAnsi="Calibri"/>
          <w:sz w:val="20"/>
          <w:szCs w:val="18"/>
        </w:rPr>
        <w:t xml:space="preserve">tetapi juga agar terciptanya kondisi peserta tersebut dapat terus menerus secara aktif menggunakan cara/alat KB. Dengan demikian meningkatnya jumlah peserta KB harus diikuti pula dengan berbagai upaya untuk meningkatkan peserta KB aktif, sehingga dapat memberikan dampak yang positif terhadap penurunan fertilitas. Salah satu faktor yang penting diperhatikan dalam layanan KB adalah faktor informasi. Karena informasi yang memadai dapat memberikan berbagai </w:t>
      </w:r>
      <w:r>
        <w:rPr>
          <w:rFonts w:ascii="Calibri" w:hAnsi="Calibri"/>
          <w:sz w:val="20"/>
          <w:szCs w:val="18"/>
        </w:rPr>
        <w:lastRenderedPageBreak/>
        <w:t>keterangan mengenai metode KB yang dapat membantu calon akseptor untuk menentukan pilihan alat kontrasepsi dan dapat memberikan informasi mengenai efek samping dari metode KB yang akan dipilih.</w:t>
      </w:r>
    </w:p>
    <w:p>
      <w:pPr>
        <w:spacing w:after="0" w:line="360" w:lineRule="auto"/>
        <w:ind w:left="284" w:firstLine="567"/>
        <w:jc w:val="both"/>
        <w:rPr>
          <w:rFonts w:ascii="Calibri" w:hAnsi="Calibri" w:cs="Arial"/>
          <w:b/>
          <w:sz w:val="20"/>
          <w:szCs w:val="20"/>
        </w:rPr>
      </w:pPr>
      <w:r>
        <w:rPr>
          <w:rFonts w:ascii="Calibri" w:hAnsi="Calibri"/>
          <w:sz w:val="20"/>
          <w:szCs w:val="18"/>
        </w:rPr>
        <w:t xml:space="preserve">Umumnya pasangan usia subur sudah menyadari perlunya ber-KB dan mereka memahami bahwa dengan dua anak lebih baik, jumlah keluarga yang terencana, dan jarak kelahiran yang tepat sesuai perencanaan. Pada tahun 2021 terdapat sekitar 60,50 persen wanita berusia 15-49 tahun yang berstatus pernah kawin yang sedang menggunakan KB, persentase ini mengalami penurunan dari tahun lalu. Dari sejumlah pemakai alat kontrasepsi, pasangan usia subur umumnya lebih suka ber-KB jangka pendek, hal ini terbukti dari alat/cara KB yang paling banyak digunakan adalah suntik dan pil seperti yang terlihat di Tabel 5.7 dibawah ini, dimana terdapat 35,73 persen wanita yang menggunakan suntik dan 16,26 persen menggunakan pil KB, sedangkan sisanya alat kontrasepsi yang lain. </w:t>
      </w:r>
    </w:p>
    <w:p>
      <w:pPr>
        <w:spacing w:line="360" w:lineRule="auto"/>
        <w:ind w:left="284"/>
        <w:jc w:val="both"/>
        <w:rPr>
          <w:rFonts w:ascii="Calibri" w:hAnsi="Calibri"/>
          <w:sz w:val="20"/>
          <w:szCs w:val="18"/>
        </w:rPr>
      </w:pPr>
    </w:p>
    <w:p>
      <w:pPr>
        <w:spacing w:line="360" w:lineRule="auto"/>
        <w:ind w:left="284"/>
        <w:jc w:val="both"/>
        <w:rPr>
          <w:rFonts w:ascii="Calibri" w:hAnsi="Calibri"/>
          <w:sz w:val="20"/>
          <w:szCs w:val="18"/>
        </w:rPr>
      </w:pPr>
    </w:p>
    <w:p>
      <w:pPr>
        <w:spacing w:line="360" w:lineRule="auto"/>
        <w:ind w:left="284"/>
        <w:jc w:val="both"/>
        <w:rPr>
          <w:rFonts w:ascii="Calibri" w:hAnsi="Calibri"/>
          <w:sz w:val="20"/>
          <w:szCs w:val="18"/>
        </w:rPr>
      </w:pPr>
    </w:p>
    <w:p>
      <w:pPr>
        <w:ind w:left="284"/>
      </w:pPr>
    </w:p>
    <w:p>
      <w:pPr>
        <w:ind w:left="284"/>
      </w:pPr>
    </w:p>
    <w:p>
      <w:pPr>
        <w:ind w:left="284"/>
      </w:pPr>
    </w:p>
    <w:p>
      <w:pPr>
        <w:ind w:left="284"/>
      </w:pPr>
    </w:p>
    <w:p>
      <w:pPr>
        <w:pStyle w:val="Caption"/>
        <w:ind w:left="1418" w:hanging="1134"/>
        <w:jc w:val="both"/>
        <w:rPr>
          <w:rFonts w:ascii="Calibri" w:hAnsi="Calibri" w:cs="Arial"/>
          <w:b/>
          <w:bCs/>
          <w:i w:val="0"/>
          <w:iCs w:val="0"/>
          <w:color w:val="000000" w:themeColor="text1"/>
          <w:sz w:val="20"/>
          <w:szCs w:val="20"/>
        </w:rPr>
      </w:pPr>
      <w:bookmarkStart w:id="87" w:name="_Toc117519542"/>
      <w:bookmarkStart w:id="88" w:name="_Toc118716958"/>
      <w:r>
        <w:rPr>
          <w:b/>
          <w:bCs/>
          <w:i w:val="0"/>
          <w:iCs w:val="0"/>
          <w:color w:val="000000" w:themeColor="text1"/>
          <w:sz w:val="20"/>
          <w:szCs w:val="20"/>
        </w:rPr>
        <w:lastRenderedPageBreak/>
        <w:t xml:space="preserve">Tabel 5. </w:t>
      </w:r>
      <w:r>
        <w:rPr>
          <w:b/>
          <w:bCs/>
          <w:i w:val="0"/>
          <w:iCs w:val="0"/>
          <w:color w:val="000000" w:themeColor="text1"/>
          <w:sz w:val="20"/>
          <w:szCs w:val="20"/>
        </w:rPr>
        <w:fldChar w:fldCharType="begin"/>
      </w:r>
      <w:r>
        <w:rPr>
          <w:b/>
          <w:bCs/>
          <w:i w:val="0"/>
          <w:iCs w:val="0"/>
          <w:color w:val="000000" w:themeColor="text1"/>
          <w:sz w:val="20"/>
          <w:szCs w:val="20"/>
        </w:rPr>
        <w:instrText xml:space="preserve"> SEQ Tabel_5. \* ARABIC </w:instrText>
      </w:r>
      <w:r>
        <w:rPr>
          <w:b/>
          <w:bCs/>
          <w:i w:val="0"/>
          <w:iCs w:val="0"/>
          <w:color w:val="000000" w:themeColor="text1"/>
          <w:sz w:val="20"/>
          <w:szCs w:val="20"/>
        </w:rPr>
        <w:fldChar w:fldCharType="separate"/>
      </w:r>
      <w:r>
        <w:rPr>
          <w:b/>
          <w:bCs/>
          <w:i w:val="0"/>
          <w:iCs w:val="0"/>
          <w:noProof/>
          <w:color w:val="000000" w:themeColor="text1"/>
          <w:sz w:val="20"/>
          <w:szCs w:val="20"/>
        </w:rPr>
        <w:t>5</w:t>
      </w:r>
      <w:r>
        <w:rPr>
          <w:b/>
          <w:bCs/>
          <w:i w:val="0"/>
          <w:iCs w:val="0"/>
          <w:color w:val="000000" w:themeColor="text1"/>
          <w:sz w:val="20"/>
          <w:szCs w:val="20"/>
        </w:rPr>
        <w:fldChar w:fldCharType="end"/>
      </w:r>
      <w:r>
        <w:rPr>
          <w:b/>
          <w:bCs/>
          <w:i w:val="0"/>
          <w:iCs w:val="0"/>
          <w:color w:val="000000" w:themeColor="text1"/>
          <w:sz w:val="20"/>
          <w:szCs w:val="20"/>
        </w:rPr>
        <w:tab/>
      </w:r>
      <w:r>
        <w:rPr>
          <w:b/>
          <w:bCs/>
          <w:i w:val="0"/>
          <w:iCs w:val="0"/>
          <w:color w:val="000000" w:themeColor="text1"/>
          <w:sz w:val="20"/>
          <w:szCs w:val="20"/>
        </w:rPr>
        <w:tab/>
      </w:r>
      <w:r>
        <w:rPr>
          <w:rFonts w:ascii="Calibri" w:hAnsi="Calibri" w:cs="Arial"/>
          <w:b/>
          <w:bCs/>
          <w:i w:val="0"/>
          <w:iCs w:val="0"/>
          <w:color w:val="000000" w:themeColor="text1"/>
          <w:sz w:val="20"/>
          <w:szCs w:val="20"/>
        </w:rPr>
        <w:t>Persentase Wanita yang Berstatus Pernah Kawin Umur 15-49 Tahun Menurut Alat/Cara KB yang Sedang Digunakan, 2019-2021</w:t>
      </w:r>
      <w:bookmarkEnd w:id="87"/>
      <w:bookmarkEnd w:id="88"/>
    </w:p>
    <w:tbl>
      <w:tblPr>
        <w:tblW w:w="5870"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2934"/>
        <w:gridCol w:w="978"/>
        <w:gridCol w:w="979"/>
        <w:gridCol w:w="979"/>
      </w:tblGrid>
      <w:tr>
        <w:trPr>
          <w:cantSplit/>
          <w:trHeight w:val="372"/>
        </w:trPr>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cstheme="minorHAnsi"/>
                <w:b/>
                <w:bCs/>
                <w:snapToGrid w:val="0"/>
                <w:sz w:val="20"/>
                <w:szCs w:val="20"/>
              </w:rPr>
            </w:pPr>
            <w:r>
              <w:rPr>
                <w:rFonts w:cstheme="minorHAnsi"/>
                <w:b/>
                <w:bCs/>
                <w:snapToGrid w:val="0"/>
                <w:sz w:val="20"/>
                <w:szCs w:val="20"/>
              </w:rPr>
              <w:t>Alat/Cara KB yang Digunakan</w:t>
            </w:r>
          </w:p>
        </w:tc>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cstheme="minorHAnsi"/>
                <w:b/>
                <w:bCs/>
                <w:i/>
                <w:iCs/>
                <w:snapToGrid w:val="0"/>
                <w:sz w:val="20"/>
                <w:szCs w:val="20"/>
                <w:lang w:val="en-US"/>
              </w:rPr>
            </w:pPr>
            <w:r>
              <w:rPr>
                <w:rFonts w:cstheme="minorHAnsi"/>
                <w:b/>
                <w:bCs/>
                <w:i/>
                <w:iCs/>
                <w:snapToGrid w:val="0"/>
                <w:sz w:val="20"/>
                <w:szCs w:val="20"/>
              </w:rPr>
              <w:t>2019</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cstheme="minorHAnsi"/>
                <w:b/>
                <w:bCs/>
                <w:i/>
                <w:iCs/>
                <w:snapToGrid w:val="0"/>
                <w:sz w:val="20"/>
                <w:szCs w:val="20"/>
              </w:rPr>
            </w:pPr>
            <w:r>
              <w:rPr>
                <w:rFonts w:cstheme="minorHAnsi"/>
                <w:b/>
                <w:bCs/>
                <w:i/>
                <w:iCs/>
                <w:snapToGrid w:val="0"/>
                <w:sz w:val="20"/>
                <w:szCs w:val="20"/>
              </w:rPr>
              <w:t>2020</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cstheme="minorHAnsi"/>
                <w:b/>
                <w:bCs/>
                <w:snapToGrid w:val="0"/>
                <w:sz w:val="20"/>
                <w:szCs w:val="20"/>
              </w:rPr>
            </w:pPr>
            <w:r>
              <w:rPr>
                <w:rFonts w:cstheme="minorHAnsi"/>
                <w:b/>
                <w:bCs/>
                <w:snapToGrid w:val="0"/>
                <w:sz w:val="20"/>
                <w:szCs w:val="20"/>
              </w:rPr>
              <w:t>2021</w:t>
            </w:r>
          </w:p>
        </w:tc>
      </w:tr>
      <w:tr>
        <w:trPr>
          <w:cantSplit/>
          <w:trHeight w:val="212"/>
        </w:trPr>
        <w:tc>
          <w:tcPr>
            <w:tcW w:w="29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cstheme="minorHAnsi"/>
                <w:snapToGrid w:val="0"/>
                <w:sz w:val="20"/>
                <w:szCs w:val="20"/>
              </w:rPr>
            </w:pPr>
            <w:r>
              <w:rPr>
                <w:rFonts w:cstheme="minorHAnsi"/>
                <w:snapToGrid w:val="0"/>
                <w:sz w:val="20"/>
                <w:szCs w:val="20"/>
              </w:rPr>
              <w:t>(1)</w:t>
            </w:r>
          </w:p>
        </w:tc>
        <w:tc>
          <w:tcPr>
            <w:tcW w:w="97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cstheme="minorHAnsi"/>
                <w:snapToGrid w:val="0"/>
                <w:sz w:val="20"/>
                <w:szCs w:val="20"/>
              </w:rPr>
            </w:pPr>
            <w:r>
              <w:rPr>
                <w:rFonts w:cstheme="minorHAnsi"/>
                <w:snapToGrid w:val="0"/>
                <w:sz w:val="20"/>
                <w:szCs w:val="20"/>
              </w:rPr>
              <w:t>(2)</w:t>
            </w:r>
          </w:p>
        </w:tc>
        <w:tc>
          <w:tcPr>
            <w:tcW w:w="97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cstheme="minorHAnsi"/>
                <w:snapToGrid w:val="0"/>
                <w:sz w:val="20"/>
                <w:szCs w:val="20"/>
              </w:rPr>
            </w:pPr>
            <w:r>
              <w:rPr>
                <w:rFonts w:cstheme="minorHAnsi"/>
                <w:snapToGrid w:val="0"/>
                <w:sz w:val="20"/>
                <w:szCs w:val="20"/>
              </w:rPr>
              <w:t>(3)</w:t>
            </w:r>
          </w:p>
        </w:tc>
        <w:tc>
          <w:tcPr>
            <w:tcW w:w="97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cstheme="minorHAnsi"/>
                <w:snapToGrid w:val="0"/>
                <w:sz w:val="20"/>
                <w:szCs w:val="20"/>
              </w:rPr>
            </w:pPr>
            <w:r>
              <w:rPr>
                <w:rFonts w:cstheme="minorHAnsi"/>
                <w:snapToGrid w:val="0"/>
                <w:sz w:val="20"/>
                <w:szCs w:val="20"/>
              </w:rPr>
              <w:t>(4)</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left="108"/>
              <w:rPr>
                <w:rFonts w:cstheme="minorHAnsi"/>
                <w:b/>
                <w:sz w:val="18"/>
                <w:szCs w:val="18"/>
              </w:rPr>
            </w:pPr>
            <w:r>
              <w:rPr>
                <w:rFonts w:cstheme="minorHAnsi"/>
                <w:b/>
                <w:sz w:val="18"/>
                <w:szCs w:val="18"/>
              </w:rPr>
              <w:t>Sedang Menggunakan</w:t>
            </w:r>
          </w:p>
        </w:tc>
        <w:tc>
          <w:tcPr>
            <w:tcW w:w="97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color w:val="000000" w:themeColor="text1"/>
                <w:sz w:val="18"/>
                <w:szCs w:val="18"/>
                <w:lang w:val="en-US"/>
              </w:rPr>
            </w:pPr>
            <w:r>
              <w:rPr>
                <w:rFonts w:cstheme="minorHAnsi"/>
                <w:b/>
                <w:color w:val="000000" w:themeColor="text1"/>
                <w:sz w:val="18"/>
                <w:szCs w:val="18"/>
              </w:rPr>
              <w:t>61,91</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color w:val="000000" w:themeColor="text1"/>
                <w:sz w:val="18"/>
                <w:szCs w:val="18"/>
              </w:rPr>
            </w:pPr>
            <w:r>
              <w:rPr>
                <w:rFonts w:cstheme="minorHAnsi"/>
                <w:b/>
                <w:color w:val="000000" w:themeColor="text1"/>
                <w:sz w:val="18"/>
                <w:szCs w:val="18"/>
              </w:rPr>
              <w:t>63,27</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sz w:val="18"/>
                <w:szCs w:val="18"/>
              </w:rPr>
            </w:pPr>
            <w:r>
              <w:rPr>
                <w:rFonts w:cstheme="minorHAnsi"/>
                <w:b/>
                <w:sz w:val="18"/>
                <w:szCs w:val="18"/>
              </w:rPr>
              <w:t>60,50</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Sterilisasi Wanita/Tubektomi</w:t>
            </w:r>
          </w:p>
        </w:tc>
        <w:tc>
          <w:tcPr>
            <w:tcW w:w="9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0,95</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0,77</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sz w:val="18"/>
                <w:szCs w:val="18"/>
              </w:rPr>
            </w:pPr>
            <w:r>
              <w:rPr>
                <w:rFonts w:cstheme="minorHAnsi"/>
                <w:sz w:val="18"/>
                <w:szCs w:val="18"/>
              </w:rPr>
              <w:t>0,88</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Sterilisasi Pria/ Vasektomi</w:t>
            </w:r>
          </w:p>
        </w:tc>
        <w:tc>
          <w:tcPr>
            <w:tcW w:w="97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0,19</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0,17</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sz w:val="18"/>
                <w:szCs w:val="18"/>
              </w:rPr>
            </w:pPr>
            <w:r>
              <w:rPr>
                <w:rFonts w:cstheme="minorHAnsi"/>
                <w:sz w:val="18"/>
                <w:szCs w:val="18"/>
              </w:rPr>
              <w:t>0,11</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IUD/ AKDR/ Spiral</w:t>
            </w:r>
          </w:p>
        </w:tc>
        <w:tc>
          <w:tcPr>
            <w:tcW w:w="9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1,08</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1,49</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sz w:val="18"/>
                <w:szCs w:val="18"/>
              </w:rPr>
            </w:pPr>
            <w:r>
              <w:rPr>
                <w:rFonts w:cstheme="minorHAnsi"/>
                <w:sz w:val="18"/>
                <w:szCs w:val="18"/>
              </w:rPr>
              <w:t>1,14</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Suntikan KB</w:t>
            </w:r>
          </w:p>
        </w:tc>
        <w:tc>
          <w:tcPr>
            <w:tcW w:w="97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38,90</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37,18</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sz w:val="18"/>
                <w:szCs w:val="18"/>
              </w:rPr>
            </w:pPr>
            <w:r>
              <w:rPr>
                <w:rFonts w:cstheme="minorHAnsi"/>
                <w:sz w:val="18"/>
                <w:szCs w:val="18"/>
              </w:rPr>
              <w:t>35,73</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Susuk KB/ Implan</w:t>
            </w:r>
          </w:p>
        </w:tc>
        <w:tc>
          <w:tcPr>
            <w:tcW w:w="9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3,24</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4,43</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sz w:val="18"/>
                <w:szCs w:val="18"/>
              </w:rPr>
            </w:pPr>
            <w:r>
              <w:rPr>
                <w:rFonts w:cstheme="minorHAnsi"/>
                <w:sz w:val="18"/>
                <w:szCs w:val="18"/>
              </w:rPr>
              <w:t>5,19</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Pil KB</w:t>
            </w:r>
          </w:p>
        </w:tc>
        <w:tc>
          <w:tcPr>
            <w:tcW w:w="97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16,39</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18,00</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sz w:val="18"/>
                <w:szCs w:val="18"/>
              </w:rPr>
            </w:pPr>
            <w:r>
              <w:rPr>
                <w:rFonts w:cstheme="minorHAnsi"/>
                <w:sz w:val="18"/>
                <w:szCs w:val="18"/>
              </w:rPr>
              <w:t>16,26</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Kondom Pria/ Karet KB</w:t>
            </w:r>
          </w:p>
        </w:tc>
        <w:tc>
          <w:tcPr>
            <w:tcW w:w="9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0,45</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0,40</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sz w:val="18"/>
                <w:szCs w:val="18"/>
              </w:rPr>
            </w:pPr>
            <w:r>
              <w:rPr>
                <w:rFonts w:cstheme="minorHAnsi"/>
                <w:sz w:val="18"/>
                <w:szCs w:val="18"/>
              </w:rPr>
              <w:t>0,36</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Intravag/Tissue/Kondom Wanita</w:t>
            </w:r>
          </w:p>
        </w:tc>
        <w:tc>
          <w:tcPr>
            <w:tcW w:w="97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0,01</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0,03</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sz w:val="18"/>
                <w:szCs w:val="18"/>
              </w:rPr>
            </w:pPr>
            <w:r>
              <w:rPr>
                <w:rFonts w:cstheme="minorHAnsi"/>
                <w:sz w:val="18"/>
                <w:szCs w:val="18"/>
              </w:rPr>
              <w:t>0,01</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pStyle w:val="ListParagraph"/>
              <w:numPr>
                <w:ilvl w:val="0"/>
                <w:numId w:val="24"/>
              </w:numPr>
              <w:spacing w:after="0" w:line="240" w:lineRule="auto"/>
              <w:ind w:left="537"/>
              <w:rPr>
                <w:rFonts w:cstheme="minorHAnsi"/>
                <w:sz w:val="18"/>
                <w:szCs w:val="18"/>
              </w:rPr>
            </w:pPr>
            <w:r>
              <w:rPr>
                <w:rFonts w:cstheme="minorHAnsi"/>
                <w:sz w:val="18"/>
                <w:szCs w:val="18"/>
              </w:rPr>
              <w:t>Tradisional</w:t>
            </w:r>
          </w:p>
        </w:tc>
        <w:tc>
          <w:tcPr>
            <w:tcW w:w="9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lang w:val="en-US"/>
              </w:rPr>
            </w:pPr>
            <w:r>
              <w:rPr>
                <w:rFonts w:cstheme="minorHAnsi"/>
                <w:color w:val="000000" w:themeColor="text1"/>
                <w:sz w:val="18"/>
                <w:szCs w:val="18"/>
              </w:rPr>
              <w:t>0,70</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color w:val="000000" w:themeColor="text1"/>
                <w:sz w:val="18"/>
                <w:szCs w:val="18"/>
              </w:rPr>
            </w:pPr>
            <w:r>
              <w:rPr>
                <w:rFonts w:cstheme="minorHAnsi"/>
                <w:color w:val="000000" w:themeColor="text1"/>
                <w:sz w:val="18"/>
                <w:szCs w:val="18"/>
              </w:rPr>
              <w:t>0,80</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sz w:val="18"/>
                <w:szCs w:val="18"/>
              </w:rPr>
            </w:pPr>
            <w:r>
              <w:rPr>
                <w:rFonts w:cstheme="minorHAnsi"/>
                <w:sz w:val="18"/>
                <w:szCs w:val="18"/>
              </w:rPr>
              <w:t>0,82</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firstLine="108"/>
              <w:rPr>
                <w:rFonts w:cstheme="minorHAnsi"/>
                <w:b/>
                <w:sz w:val="18"/>
                <w:szCs w:val="18"/>
              </w:rPr>
            </w:pPr>
            <w:r>
              <w:rPr>
                <w:rFonts w:cstheme="minorHAnsi"/>
                <w:b/>
                <w:sz w:val="18"/>
                <w:szCs w:val="18"/>
              </w:rPr>
              <w:t>Tidak Menggunakan Lagi</w:t>
            </w:r>
          </w:p>
        </w:tc>
        <w:tc>
          <w:tcPr>
            <w:tcW w:w="97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color w:val="000000" w:themeColor="text1"/>
                <w:sz w:val="18"/>
                <w:szCs w:val="18"/>
                <w:lang w:val="en-US"/>
              </w:rPr>
            </w:pPr>
            <w:r>
              <w:rPr>
                <w:rFonts w:cstheme="minorHAnsi"/>
                <w:b/>
                <w:color w:val="000000" w:themeColor="text1"/>
                <w:sz w:val="18"/>
                <w:szCs w:val="18"/>
              </w:rPr>
              <w:t>12,44</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color w:val="000000" w:themeColor="text1"/>
                <w:sz w:val="18"/>
                <w:szCs w:val="18"/>
              </w:rPr>
            </w:pPr>
            <w:r>
              <w:rPr>
                <w:rFonts w:cstheme="minorHAnsi"/>
                <w:b/>
                <w:color w:val="000000" w:themeColor="text1"/>
                <w:sz w:val="18"/>
                <w:szCs w:val="18"/>
              </w:rPr>
              <w:t>11,91</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sz w:val="18"/>
                <w:szCs w:val="18"/>
              </w:rPr>
            </w:pPr>
            <w:r>
              <w:rPr>
                <w:rFonts w:cstheme="minorHAnsi"/>
                <w:b/>
                <w:sz w:val="18"/>
                <w:szCs w:val="18"/>
              </w:rPr>
              <w:t>13,46</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firstLine="108"/>
              <w:rPr>
                <w:rFonts w:cstheme="minorHAnsi"/>
                <w:b/>
                <w:sz w:val="18"/>
                <w:szCs w:val="18"/>
              </w:rPr>
            </w:pPr>
            <w:r>
              <w:rPr>
                <w:rFonts w:cstheme="minorHAnsi"/>
                <w:b/>
                <w:sz w:val="18"/>
                <w:szCs w:val="18"/>
              </w:rPr>
              <w:t>Tidak Pernah Menggunakan</w:t>
            </w:r>
          </w:p>
        </w:tc>
        <w:tc>
          <w:tcPr>
            <w:tcW w:w="9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b/>
                <w:color w:val="000000" w:themeColor="text1"/>
                <w:sz w:val="18"/>
                <w:szCs w:val="18"/>
                <w:lang w:val="en-US"/>
              </w:rPr>
            </w:pPr>
            <w:r>
              <w:rPr>
                <w:rFonts w:cstheme="minorHAnsi"/>
                <w:b/>
                <w:color w:val="000000" w:themeColor="text1"/>
                <w:sz w:val="18"/>
                <w:szCs w:val="18"/>
              </w:rPr>
              <w:t>25,65</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b/>
                <w:color w:val="000000" w:themeColor="text1"/>
                <w:sz w:val="18"/>
                <w:szCs w:val="18"/>
              </w:rPr>
            </w:pPr>
            <w:r>
              <w:rPr>
                <w:rFonts w:cstheme="minorHAnsi"/>
                <w:b/>
                <w:color w:val="000000" w:themeColor="text1"/>
                <w:sz w:val="18"/>
                <w:szCs w:val="18"/>
              </w:rPr>
              <w:t>24,82</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27"/>
              <w:jc w:val="right"/>
              <w:rPr>
                <w:rFonts w:cstheme="minorHAnsi"/>
                <w:b/>
                <w:sz w:val="18"/>
                <w:szCs w:val="18"/>
              </w:rPr>
            </w:pPr>
            <w:r>
              <w:rPr>
                <w:rFonts w:cstheme="minorHAnsi"/>
                <w:b/>
                <w:sz w:val="18"/>
                <w:szCs w:val="18"/>
              </w:rPr>
              <w:t>26,04</w:t>
            </w:r>
          </w:p>
        </w:tc>
      </w:tr>
      <w:tr>
        <w:trPr>
          <w:cantSplit/>
          <w:trHeight w:val="318"/>
        </w:trPr>
        <w:tc>
          <w:tcPr>
            <w:tcW w:w="2934"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firstLine="108"/>
              <w:rPr>
                <w:rFonts w:cstheme="minorHAnsi"/>
                <w:b/>
                <w:sz w:val="18"/>
                <w:szCs w:val="18"/>
              </w:rPr>
            </w:pPr>
            <w:r>
              <w:rPr>
                <w:rFonts w:cstheme="minorHAnsi"/>
                <w:b/>
                <w:sz w:val="18"/>
                <w:szCs w:val="18"/>
              </w:rPr>
              <w:t>Jumlah</w:t>
            </w:r>
          </w:p>
        </w:tc>
        <w:tc>
          <w:tcPr>
            <w:tcW w:w="97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sz w:val="18"/>
                <w:szCs w:val="18"/>
              </w:rPr>
            </w:pPr>
            <w:r>
              <w:rPr>
                <w:rFonts w:cstheme="minorHAnsi"/>
                <w:b/>
                <w:sz w:val="18"/>
                <w:szCs w:val="18"/>
              </w:rPr>
              <w:t>100,00</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sz w:val="18"/>
                <w:szCs w:val="18"/>
              </w:rPr>
            </w:pPr>
            <w:r>
              <w:rPr>
                <w:rFonts w:cstheme="minorHAnsi"/>
                <w:b/>
                <w:sz w:val="18"/>
                <w:szCs w:val="18"/>
              </w:rPr>
              <w:t>100,00</w:t>
            </w:r>
          </w:p>
        </w:tc>
        <w:tc>
          <w:tcPr>
            <w:tcW w:w="97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27"/>
              <w:jc w:val="right"/>
              <w:rPr>
                <w:rFonts w:cstheme="minorHAnsi"/>
                <w:b/>
                <w:sz w:val="18"/>
                <w:szCs w:val="18"/>
              </w:rPr>
            </w:pPr>
            <w:r>
              <w:rPr>
                <w:rFonts w:cstheme="minorHAnsi"/>
                <w:b/>
                <w:sz w:val="18"/>
                <w:szCs w:val="18"/>
              </w:rPr>
              <w:t>100,00</w:t>
            </w:r>
          </w:p>
        </w:tc>
      </w:tr>
    </w:tbl>
    <w:p>
      <w:pPr>
        <w:ind w:left="284"/>
        <w:jc w:val="both"/>
        <w:rPr>
          <w:rFonts w:ascii="Calibri" w:hAnsi="Calibri" w:cs="Calibri"/>
          <w:bCs/>
          <w:i/>
          <w:color w:val="FF0000"/>
          <w:sz w:val="18"/>
        </w:rPr>
      </w:pPr>
      <w:r>
        <w:rPr>
          <w:rFonts w:ascii="Calibri" w:hAnsi="Calibri" w:cs="Calibri"/>
          <w:bCs/>
          <w:i/>
          <w:color w:val="000000" w:themeColor="text1"/>
          <w:sz w:val="18"/>
        </w:rPr>
        <w:t>Sumber: BPS, Susenas 2019-2021</w:t>
      </w:r>
    </w:p>
    <w:p>
      <w:pPr>
        <w:spacing w:line="360" w:lineRule="auto"/>
        <w:ind w:left="284" w:firstLine="567"/>
        <w:jc w:val="both"/>
        <w:rPr>
          <w:rFonts w:ascii="Calibri" w:hAnsi="Calibri" w:cs="Arial"/>
          <w:b/>
          <w:sz w:val="20"/>
          <w:szCs w:val="20"/>
        </w:rPr>
      </w:pPr>
      <w:r>
        <w:rPr>
          <w:rFonts w:ascii="Calibri" w:hAnsi="Calibri"/>
          <w:color w:val="000000" w:themeColor="text1"/>
          <w:sz w:val="20"/>
          <w:szCs w:val="18"/>
        </w:rPr>
        <w:t xml:space="preserve">Hal ini kemungkinan dipengaruhi oleh adanya sasaran dari program itu sendiri, dan juga karena lebih praktis dan kemudahan pelayanan bagi para pengguna. Sebaliknya pengguna alat/cara KB jangka panjang seperti IUD, tubektomi maupun vasektomi masih sangat </w:t>
      </w:r>
      <w:r>
        <w:rPr>
          <w:rFonts w:ascii="Calibri" w:hAnsi="Calibri"/>
          <w:sz w:val="20"/>
          <w:szCs w:val="18"/>
        </w:rPr>
        <w:t xml:space="preserve">rendah. Proporsi besarnya pemakaian IUD sebesar 1,14 persen, padahal IUD merupakan salah satu alat yang efektif, karena tingkat kelangsungan pemakaian IUD lebih tinggi </w:t>
      </w:r>
      <w:r>
        <w:rPr>
          <w:rFonts w:ascii="Calibri" w:hAnsi="Calibri"/>
          <w:sz w:val="20"/>
          <w:szCs w:val="18"/>
        </w:rPr>
        <w:lastRenderedPageBreak/>
        <w:t>dibandingkan pil atau kondom. Diharapkan dengan pemakaian IUD akan lebih menjamin keberhasilan program KB.</w:t>
      </w:r>
    </w:p>
    <w:p>
      <w:pPr>
        <w:pStyle w:val="Heading2"/>
        <w:numPr>
          <w:ilvl w:val="0"/>
          <w:numId w:val="0"/>
        </w:numPr>
        <w:ind w:left="709" w:hanging="425"/>
        <w:rPr>
          <w:rFonts w:asciiTheme="minorHAnsi" w:hAnsiTheme="minorHAnsi" w:cstheme="minorHAnsi"/>
          <w:sz w:val="20"/>
          <w:szCs w:val="20"/>
          <w:lang w:val="en-US"/>
        </w:rPr>
      </w:pPr>
      <w:bookmarkStart w:id="89" w:name="_Toc118715994"/>
      <w:r>
        <w:rPr>
          <w:rFonts w:asciiTheme="minorHAnsi" w:hAnsiTheme="minorHAnsi" w:cstheme="minorHAnsi"/>
          <w:sz w:val="20"/>
          <w:szCs w:val="20"/>
          <w:lang w:val="en-US"/>
        </w:rPr>
        <w:t xml:space="preserve">5.5 </w:t>
      </w:r>
      <w:r>
        <w:rPr>
          <w:rFonts w:asciiTheme="minorHAnsi" w:hAnsiTheme="minorHAnsi" w:cstheme="minorHAnsi"/>
          <w:sz w:val="20"/>
          <w:szCs w:val="20"/>
          <w:lang w:val="en-US"/>
        </w:rPr>
        <w:tab/>
        <w:t>Umur Perkawinan Pertama</w:t>
      </w:r>
      <w:bookmarkEnd w:id="89"/>
    </w:p>
    <w:p>
      <w:pPr>
        <w:spacing w:line="360" w:lineRule="auto"/>
        <w:ind w:left="284" w:firstLine="567"/>
        <w:jc w:val="both"/>
        <w:rPr>
          <w:rFonts w:ascii="Calibri" w:hAnsi="Calibri" w:cs="Calibri"/>
          <w:bCs/>
          <w:sz w:val="20"/>
        </w:rPr>
      </w:pPr>
      <w:r>
        <w:rPr>
          <w:rFonts w:ascii="Calibri" w:hAnsi="Calibri" w:cs="Calibri"/>
          <w:bCs/>
          <w:sz w:val="20"/>
        </w:rPr>
        <w:t>Umur wanita saat melakukan perkawinan pertama menunjukkan jika semakin muda usia saat perkawinan pertama semakin besar resiko yang dihadapi wanita tersebut pada saat melahirkan. Program Keluarga Berencana (KB) yang mengendalikan kelahiran dan penundaan umur perkawinan pertama pada wanita merupakan faktor-faktor yang mempengaruhi fertilitas di Indonesia, karena berdampak memperpendek masa reproduksi mereka. Dengan memberi kesempatan kepada wanita untuk bersekolah lebih tinggi dapat membantu wanita untuk menunda umur perkawinan.</w:t>
      </w:r>
    </w:p>
    <w:p>
      <w:pPr>
        <w:pStyle w:val="Caption"/>
        <w:ind w:left="1418" w:hanging="1134"/>
        <w:jc w:val="both"/>
        <w:rPr>
          <w:rFonts w:cstheme="minorHAnsi"/>
          <w:b/>
          <w:bCs/>
          <w:i w:val="0"/>
          <w:iCs w:val="0"/>
          <w:color w:val="000000" w:themeColor="text1"/>
          <w:sz w:val="20"/>
          <w:szCs w:val="20"/>
        </w:rPr>
      </w:pPr>
      <w:bookmarkStart w:id="90" w:name="_Toc117519620"/>
      <w:r>
        <w:rPr>
          <w:noProof/>
          <w:lang w:val="en-ID" w:eastAsia="en-ID"/>
        </w:rPr>
        <w:drawing>
          <wp:anchor distT="0" distB="0" distL="114300" distR="114300" simplePos="0" relativeHeight="251669504" behindDoc="0" locked="0" layoutInCell="1" allowOverlap="1">
            <wp:simplePos x="0" y="0"/>
            <wp:positionH relativeFrom="column">
              <wp:posOffset>194310</wp:posOffset>
            </wp:positionH>
            <wp:positionV relativeFrom="paragraph">
              <wp:posOffset>344288</wp:posOffset>
            </wp:positionV>
            <wp:extent cx="3672205" cy="1642821"/>
            <wp:effectExtent l="0" t="0" r="0" b="0"/>
            <wp:wrapNone/>
            <wp:docPr id="28" name="Chart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C0FC5F-0A01-1E8B-0C8C-2257748C1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b/>
          <w:bCs/>
          <w:i w:val="0"/>
          <w:iCs w:val="0"/>
          <w:color w:val="000000" w:themeColor="text1"/>
          <w:sz w:val="20"/>
          <w:szCs w:val="20"/>
        </w:rPr>
        <w:t xml:space="preserve">Gambar 5. </w:t>
      </w:r>
      <w:r>
        <w:rPr>
          <w:b/>
          <w:bCs/>
          <w:i w:val="0"/>
          <w:iCs w:val="0"/>
          <w:color w:val="000000" w:themeColor="text1"/>
          <w:sz w:val="20"/>
          <w:szCs w:val="20"/>
        </w:rPr>
        <w:fldChar w:fldCharType="begin"/>
      </w:r>
      <w:r>
        <w:rPr>
          <w:b/>
          <w:bCs/>
          <w:i w:val="0"/>
          <w:iCs w:val="0"/>
          <w:color w:val="000000" w:themeColor="text1"/>
          <w:sz w:val="20"/>
          <w:szCs w:val="20"/>
        </w:rPr>
        <w:instrText xml:space="preserve"> SEQ Gambar_5. \* ARABIC </w:instrText>
      </w:r>
      <w:r>
        <w:rPr>
          <w:b/>
          <w:bCs/>
          <w:i w:val="0"/>
          <w:iCs w:val="0"/>
          <w:color w:val="000000" w:themeColor="text1"/>
          <w:sz w:val="20"/>
          <w:szCs w:val="20"/>
        </w:rPr>
        <w:fldChar w:fldCharType="separate"/>
      </w:r>
      <w:r>
        <w:rPr>
          <w:b/>
          <w:bCs/>
          <w:i w:val="0"/>
          <w:iCs w:val="0"/>
          <w:noProof/>
          <w:color w:val="000000" w:themeColor="text1"/>
          <w:sz w:val="20"/>
          <w:szCs w:val="20"/>
        </w:rPr>
        <w:t>3</w:t>
      </w:r>
      <w:r>
        <w:rPr>
          <w:b/>
          <w:bCs/>
          <w:i w:val="0"/>
          <w:iCs w:val="0"/>
          <w:color w:val="000000" w:themeColor="text1"/>
          <w:sz w:val="20"/>
          <w:szCs w:val="20"/>
        </w:rPr>
        <w:fldChar w:fldCharType="end"/>
      </w:r>
      <w:r>
        <w:rPr>
          <w:b/>
          <w:bCs/>
          <w:i w:val="0"/>
          <w:iCs w:val="0"/>
          <w:color w:val="000000" w:themeColor="text1"/>
          <w:sz w:val="20"/>
          <w:szCs w:val="20"/>
        </w:rPr>
        <w:tab/>
      </w:r>
      <w:r>
        <w:rPr>
          <w:rFonts w:cstheme="minorHAnsi"/>
          <w:b/>
          <w:bCs/>
          <w:i w:val="0"/>
          <w:iCs w:val="0"/>
          <w:color w:val="000000" w:themeColor="text1"/>
          <w:sz w:val="20"/>
          <w:szCs w:val="20"/>
        </w:rPr>
        <w:t>Persentase Perempuan Umur 10 Tahun Ke Atas Pernah Kawin Menurut Umur Perkawinan Pertama, 2019-2021</w:t>
      </w:r>
      <w:bookmarkEnd w:id="90"/>
    </w:p>
    <w:p/>
    <w:p/>
    <w:p/>
    <w:p/>
    <w:p/>
    <w:p>
      <w:pPr>
        <w:ind w:left="284"/>
        <w:rPr>
          <w:rFonts w:cstheme="minorHAnsi"/>
          <w:i/>
          <w:color w:val="000000" w:themeColor="text1"/>
          <w:sz w:val="18"/>
          <w:szCs w:val="18"/>
        </w:rPr>
      </w:pPr>
      <w:r>
        <w:rPr>
          <w:rFonts w:cstheme="minorHAnsi"/>
          <w:i/>
          <w:color w:val="000000" w:themeColor="text1"/>
          <w:sz w:val="18"/>
          <w:szCs w:val="18"/>
        </w:rPr>
        <w:t>Sumber : BPS, Susenas Maret 2019-2021</w:t>
      </w:r>
    </w:p>
    <w:p>
      <w:pPr>
        <w:spacing w:after="0" w:line="360" w:lineRule="auto"/>
        <w:ind w:left="284" w:firstLine="567"/>
        <w:jc w:val="both"/>
        <w:rPr>
          <w:rFonts w:ascii="Calibri" w:hAnsi="Calibri" w:cs="Calibri"/>
          <w:bCs/>
          <w:sz w:val="20"/>
        </w:rPr>
      </w:pPr>
      <w:r>
        <w:rPr>
          <w:rFonts w:ascii="Calibri" w:hAnsi="Calibri" w:cs="Calibri"/>
          <w:bCs/>
          <w:color w:val="000000" w:themeColor="text1"/>
          <w:sz w:val="20"/>
        </w:rPr>
        <w:lastRenderedPageBreak/>
        <w:t xml:space="preserve">Dari Gambar 5.3 di atas terlihat bahwa persentase wanita yang melakukan perkawinan pertamanya di usia &lt;=16  tahun menurun dari 18,42 persen menjadi 17,51 persen. Hal ini diperkirakan karena meningkatnya kesadaran wanita akan besarnya resiko melakukan perkawinan di usia muda. Tahun 2021, sebagian besar wanita </w:t>
      </w:r>
      <w:r>
        <w:rPr>
          <w:rFonts w:ascii="Calibri" w:hAnsi="Calibri" w:cs="Calibri"/>
          <w:bCs/>
          <w:sz w:val="20"/>
        </w:rPr>
        <w:t>melakukan perkawinan pertamanya pada usia 21+ tahun yaitu mencapai 35,78 persen, lebih tinggi dibandingkan tahun sebelumnya yang mencapai 33,92 persen.</w:t>
      </w:r>
    </w:p>
    <w:p>
      <w:pPr>
        <w:spacing w:after="0" w:line="360" w:lineRule="auto"/>
        <w:ind w:left="284" w:firstLine="567"/>
        <w:jc w:val="both"/>
        <w:rPr>
          <w:rFonts w:ascii="Calibri" w:hAnsi="Calibri" w:cs="Calibri"/>
          <w:bCs/>
          <w:color w:val="000000" w:themeColor="text1"/>
          <w:sz w:val="20"/>
        </w:rPr>
      </w:pPr>
      <w:r>
        <w:rPr>
          <w:rFonts w:ascii="Calibri" w:hAnsi="Calibri" w:cs="Calibri"/>
          <w:bCs/>
          <w:color w:val="000000" w:themeColor="text1"/>
          <w:sz w:val="20"/>
        </w:rPr>
        <w:t>Kemudian jika dibandingkan antar kabupaten/kota terlihat bahwa persentase wanita yang umur perkawinan pertamanya kurang dari 16 tahun tertinggi di Kabupaten Kapuas yang mencapai 23,51 persen, sedangkan terendah di Kota Palangka Raya sebesar 8,47 persen. Dari tabel 5.7 juga terlihat bahwa sebagian besar wanita di semua kabupaten/kota usia perkawinan pertamanya pada kelompok umur 21 tahun ke atas.</w:t>
      </w: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spacing w:after="0" w:line="360" w:lineRule="auto"/>
        <w:ind w:left="284" w:firstLine="567"/>
        <w:jc w:val="both"/>
        <w:rPr>
          <w:rFonts w:ascii="Calibri" w:hAnsi="Calibri" w:cs="Calibri"/>
          <w:bCs/>
          <w:color w:val="000000" w:themeColor="text1"/>
          <w:sz w:val="20"/>
        </w:rPr>
      </w:pPr>
    </w:p>
    <w:p>
      <w:pPr>
        <w:pStyle w:val="Caption"/>
        <w:ind w:left="1418" w:hanging="1134"/>
        <w:jc w:val="both"/>
        <w:rPr>
          <w:rFonts w:ascii="Calibri" w:hAnsi="Calibri" w:cs="Arial"/>
          <w:b/>
          <w:bCs/>
          <w:i w:val="0"/>
          <w:iCs w:val="0"/>
          <w:color w:val="000000" w:themeColor="text1"/>
          <w:sz w:val="20"/>
          <w:szCs w:val="20"/>
        </w:rPr>
      </w:pPr>
      <w:bookmarkStart w:id="91" w:name="_Toc117519543"/>
      <w:bookmarkStart w:id="92" w:name="_Toc118716959"/>
      <w:r>
        <w:rPr>
          <w:b/>
          <w:bCs/>
          <w:i w:val="0"/>
          <w:iCs w:val="0"/>
          <w:color w:val="000000" w:themeColor="text1"/>
          <w:sz w:val="20"/>
          <w:szCs w:val="20"/>
        </w:rPr>
        <w:t xml:space="preserve">Tabel 5. </w:t>
      </w:r>
      <w:r>
        <w:rPr>
          <w:b/>
          <w:bCs/>
          <w:i w:val="0"/>
          <w:iCs w:val="0"/>
          <w:color w:val="000000" w:themeColor="text1"/>
          <w:sz w:val="20"/>
          <w:szCs w:val="20"/>
        </w:rPr>
        <w:fldChar w:fldCharType="begin"/>
      </w:r>
      <w:r>
        <w:rPr>
          <w:b/>
          <w:bCs/>
          <w:i w:val="0"/>
          <w:iCs w:val="0"/>
          <w:color w:val="000000" w:themeColor="text1"/>
          <w:sz w:val="20"/>
          <w:szCs w:val="20"/>
        </w:rPr>
        <w:instrText xml:space="preserve"> SEQ Tabel_5. \* ARABIC </w:instrText>
      </w:r>
      <w:r>
        <w:rPr>
          <w:b/>
          <w:bCs/>
          <w:i w:val="0"/>
          <w:iCs w:val="0"/>
          <w:color w:val="000000" w:themeColor="text1"/>
          <w:sz w:val="20"/>
          <w:szCs w:val="20"/>
        </w:rPr>
        <w:fldChar w:fldCharType="separate"/>
      </w:r>
      <w:r>
        <w:rPr>
          <w:b/>
          <w:bCs/>
          <w:i w:val="0"/>
          <w:iCs w:val="0"/>
          <w:noProof/>
          <w:color w:val="000000" w:themeColor="text1"/>
          <w:sz w:val="20"/>
          <w:szCs w:val="20"/>
        </w:rPr>
        <w:t>6</w:t>
      </w:r>
      <w:r>
        <w:rPr>
          <w:b/>
          <w:bCs/>
          <w:i w:val="0"/>
          <w:iCs w:val="0"/>
          <w:color w:val="000000" w:themeColor="text1"/>
          <w:sz w:val="20"/>
          <w:szCs w:val="20"/>
        </w:rPr>
        <w:fldChar w:fldCharType="end"/>
      </w:r>
      <w:r>
        <w:rPr>
          <w:b/>
          <w:bCs/>
          <w:i w:val="0"/>
          <w:iCs w:val="0"/>
          <w:color w:val="000000" w:themeColor="text1"/>
          <w:sz w:val="20"/>
          <w:szCs w:val="20"/>
        </w:rPr>
        <w:tab/>
      </w:r>
      <w:r>
        <w:rPr>
          <w:b/>
          <w:bCs/>
          <w:i w:val="0"/>
          <w:iCs w:val="0"/>
          <w:color w:val="000000" w:themeColor="text1"/>
          <w:sz w:val="20"/>
          <w:szCs w:val="20"/>
        </w:rPr>
        <w:tab/>
      </w:r>
      <w:r>
        <w:rPr>
          <w:rFonts w:ascii="Calibri" w:hAnsi="Calibri" w:cs="Arial"/>
          <w:b/>
          <w:bCs/>
          <w:i w:val="0"/>
          <w:iCs w:val="0"/>
          <w:color w:val="000000" w:themeColor="text1"/>
          <w:sz w:val="20"/>
          <w:szCs w:val="20"/>
        </w:rPr>
        <w:t>Persentase Perempuan Umur 10 Tahun ke Atas Pernah Kawin Menurut Kabupaten/Kota dan Umur Perkawinan Pertama, 2021</w:t>
      </w:r>
      <w:bookmarkEnd w:id="91"/>
      <w:bookmarkEnd w:id="92"/>
    </w:p>
    <w:tbl>
      <w:tblPr>
        <w:tblW w:w="6071" w:type="dxa"/>
        <w:tblInd w:w="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1559"/>
        <w:gridCol w:w="851"/>
        <w:gridCol w:w="992"/>
        <w:gridCol w:w="850"/>
        <w:gridCol w:w="851"/>
        <w:gridCol w:w="968"/>
      </w:tblGrid>
      <w:tr>
        <w:trPr>
          <w:cantSplit/>
          <w:trHeight w:val="266"/>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bCs/>
                <w:snapToGrid w:val="0"/>
                <w:sz w:val="18"/>
                <w:szCs w:val="18"/>
              </w:rPr>
            </w:pPr>
            <w:r>
              <w:rPr>
                <w:rFonts w:ascii="Calibri" w:hAnsi="Calibri"/>
                <w:b/>
                <w:bCs/>
                <w:snapToGrid w:val="0"/>
                <w:sz w:val="18"/>
                <w:szCs w:val="18"/>
              </w:rPr>
              <w:t>Kabupaten/Kota</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color w:val="FFFFFF" w:themeColor="background1"/>
                <w:sz w:val="18"/>
                <w:szCs w:val="18"/>
              </w:rPr>
            </w:pPr>
            <w:r>
              <w:rPr>
                <w:rFonts w:ascii="Calibri" w:hAnsi="Calibri" w:cs="Calibri"/>
                <w:b/>
                <w:color w:val="FFFFFF" w:themeColor="background1"/>
                <w:sz w:val="18"/>
                <w:szCs w:val="18"/>
              </w:rPr>
              <w:t>≤</w:t>
            </w:r>
            <w:r>
              <w:rPr>
                <w:rFonts w:ascii="Calibri" w:hAnsi="Calibri"/>
                <w:b/>
                <w:color w:val="FFFFFF" w:themeColor="background1"/>
                <w:sz w:val="18"/>
                <w:szCs w:val="18"/>
              </w:rPr>
              <w:t>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color w:val="FFFFFF" w:themeColor="background1"/>
                <w:sz w:val="18"/>
                <w:szCs w:val="18"/>
              </w:rPr>
            </w:pPr>
            <w:r>
              <w:rPr>
                <w:rFonts w:ascii="Calibri" w:hAnsi="Calibri"/>
                <w:b/>
                <w:color w:val="FFFFFF" w:themeColor="background1"/>
                <w:sz w:val="18"/>
                <w:szCs w:val="18"/>
              </w:rPr>
              <w:t>17-18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color w:val="FFFFFF" w:themeColor="background1"/>
                <w:sz w:val="18"/>
                <w:szCs w:val="18"/>
                <w:lang w:val="en-US"/>
              </w:rPr>
            </w:pPr>
            <w:r>
              <w:rPr>
                <w:rFonts w:ascii="Calibri" w:hAnsi="Calibri"/>
                <w:b/>
                <w:color w:val="FFFFFF" w:themeColor="background1"/>
                <w:sz w:val="18"/>
                <w:szCs w:val="18"/>
              </w:rPr>
              <w:t>19-20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sz w:val="18"/>
                <w:szCs w:val="18"/>
              </w:rPr>
            </w:pPr>
            <w:r>
              <w:rPr>
                <w:rFonts w:ascii="Calibri" w:hAnsi="Calibri"/>
                <w:b/>
                <w:sz w:val="18"/>
                <w:szCs w:val="18"/>
              </w:rPr>
              <w:t>21+</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8003D"/>
            <w:vAlign w:val="center"/>
            <w:hideMark/>
          </w:tcPr>
          <w:p>
            <w:pPr>
              <w:spacing w:after="0"/>
              <w:jc w:val="center"/>
              <w:rPr>
                <w:rFonts w:ascii="Calibri" w:hAnsi="Calibri"/>
                <w:b/>
                <w:sz w:val="18"/>
                <w:szCs w:val="18"/>
              </w:rPr>
            </w:pPr>
            <w:r>
              <w:rPr>
                <w:rFonts w:ascii="Calibri" w:hAnsi="Calibri"/>
                <w:b/>
                <w:sz w:val="18"/>
                <w:szCs w:val="18"/>
              </w:rPr>
              <w:t>Jumlah</w:t>
            </w:r>
          </w:p>
        </w:tc>
      </w:tr>
      <w:tr>
        <w:trPr>
          <w:cantSplit/>
          <w:trHeight w:val="227"/>
        </w:trPr>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(1)</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(3)</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color w:val="FFFFFF" w:themeColor="background1"/>
                <w:sz w:val="18"/>
                <w:szCs w:val="18"/>
              </w:rPr>
            </w:pPr>
            <w:r>
              <w:rPr>
                <w:rFonts w:ascii="Calibri" w:hAnsi="Calibri"/>
                <w:snapToGrid w:val="0"/>
                <w:color w:val="FFFFFF" w:themeColor="background1"/>
                <w:sz w:val="18"/>
                <w:szCs w:val="18"/>
              </w:rPr>
              <w:t>(4)</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(5)</w:t>
            </w:r>
          </w:p>
        </w:tc>
        <w:tc>
          <w:tcPr>
            <w:tcW w:w="9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38003D"/>
            <w:vAlign w:val="center"/>
            <w:hideMark/>
          </w:tcPr>
          <w:p>
            <w:pPr>
              <w:spacing w:after="0"/>
              <w:jc w:val="center"/>
              <w:rPr>
                <w:rFonts w:ascii="Calibri" w:hAnsi="Calibri"/>
                <w:snapToGrid w:val="0"/>
                <w:sz w:val="18"/>
                <w:szCs w:val="18"/>
              </w:rPr>
            </w:pPr>
            <w:r>
              <w:rPr>
                <w:rFonts w:ascii="Calibri" w:hAnsi="Calibri"/>
                <w:snapToGrid w:val="0"/>
                <w:sz w:val="18"/>
                <w:szCs w:val="18"/>
              </w:rPr>
              <w:t>(6)</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sz w:val="18"/>
                <w:szCs w:val="18"/>
              </w:rPr>
            </w:pPr>
            <w:r>
              <w:rPr>
                <w:rFonts w:ascii="Calibri" w:hAnsi="Calibri"/>
                <w:sz w:val="18"/>
                <w:szCs w:val="18"/>
              </w:rPr>
              <w:t>Kotawaringin Barat</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16"/>
              <w:jc w:val="right"/>
              <w:rPr>
                <w:rFonts w:cstheme="minorHAnsi"/>
                <w:color w:val="FF0000"/>
                <w:sz w:val="18"/>
                <w:szCs w:val="18"/>
              </w:rPr>
            </w:pPr>
            <w:r>
              <w:rPr>
                <w:rFonts w:cstheme="minorHAnsi"/>
                <w:sz w:val="18"/>
                <w:szCs w:val="18"/>
              </w:rPr>
              <w:t>19,77</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150"/>
              <w:jc w:val="right"/>
              <w:rPr>
                <w:rFonts w:cstheme="minorHAnsi"/>
                <w:color w:val="FF0000"/>
                <w:sz w:val="18"/>
                <w:szCs w:val="18"/>
              </w:rPr>
            </w:pPr>
            <w:r>
              <w:rPr>
                <w:rFonts w:cstheme="minorHAnsi"/>
                <w:sz w:val="18"/>
                <w:szCs w:val="18"/>
              </w:rPr>
              <w:t>20,49</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lang w:val="en-US"/>
              </w:rPr>
            </w:pPr>
            <w:r>
              <w:rPr>
                <w:rFonts w:cstheme="minorHAnsi"/>
                <w:sz w:val="18"/>
                <w:szCs w:val="18"/>
              </w:rPr>
              <w:t>22,22</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rPr>
            </w:pPr>
            <w:r>
              <w:rPr>
                <w:rFonts w:cstheme="minorHAnsi"/>
                <w:sz w:val="18"/>
                <w:szCs w:val="18"/>
              </w:rPr>
              <w:t>37,52</w:t>
            </w:r>
          </w:p>
        </w:tc>
        <w:tc>
          <w:tcPr>
            <w:tcW w:w="96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sz w:val="18"/>
                <w:szCs w:val="18"/>
              </w:rPr>
            </w:pPr>
            <w:r>
              <w:rPr>
                <w:rFonts w:ascii="Calibri" w:hAnsi="Calibri"/>
                <w:sz w:val="18"/>
                <w:szCs w:val="18"/>
              </w:rPr>
              <w:t>Kotawaringin Timur</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16"/>
              <w:jc w:val="right"/>
              <w:rPr>
                <w:rFonts w:cstheme="minorHAnsi"/>
                <w:color w:val="FF0000"/>
                <w:sz w:val="18"/>
                <w:szCs w:val="18"/>
              </w:rPr>
            </w:pPr>
            <w:r>
              <w:rPr>
                <w:rFonts w:cstheme="minorHAnsi"/>
                <w:sz w:val="18"/>
                <w:szCs w:val="18"/>
              </w:rPr>
              <w:t>19,40</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150"/>
              <w:jc w:val="right"/>
              <w:rPr>
                <w:rFonts w:cstheme="minorHAnsi"/>
                <w:color w:val="FF0000"/>
                <w:sz w:val="18"/>
                <w:szCs w:val="18"/>
              </w:rPr>
            </w:pPr>
            <w:r>
              <w:rPr>
                <w:rFonts w:cstheme="minorHAnsi"/>
                <w:sz w:val="18"/>
                <w:szCs w:val="18"/>
              </w:rPr>
              <w:t>23,52</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lang w:val="en-US"/>
              </w:rPr>
            </w:pPr>
            <w:r>
              <w:rPr>
                <w:rFonts w:cstheme="minorHAnsi"/>
                <w:sz w:val="18"/>
                <w:szCs w:val="18"/>
              </w:rPr>
              <w:t>25,32</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31,76</w:t>
            </w:r>
          </w:p>
        </w:tc>
        <w:tc>
          <w:tcPr>
            <w:tcW w:w="9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sz w:val="18"/>
                <w:szCs w:val="18"/>
              </w:rPr>
            </w:pPr>
            <w:r>
              <w:rPr>
                <w:rFonts w:ascii="Calibri" w:hAnsi="Calibri"/>
                <w:sz w:val="18"/>
                <w:szCs w:val="18"/>
              </w:rPr>
              <w:t>Kapuas</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16"/>
              <w:jc w:val="right"/>
              <w:rPr>
                <w:rFonts w:cstheme="minorHAnsi"/>
                <w:color w:val="FF0000"/>
                <w:sz w:val="18"/>
                <w:szCs w:val="18"/>
              </w:rPr>
            </w:pPr>
            <w:r>
              <w:rPr>
                <w:rFonts w:cstheme="minorHAnsi"/>
                <w:sz w:val="18"/>
                <w:szCs w:val="18"/>
              </w:rPr>
              <w:t>23,51</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150"/>
              <w:jc w:val="right"/>
              <w:rPr>
                <w:rFonts w:cstheme="minorHAnsi"/>
                <w:color w:val="FF0000"/>
                <w:sz w:val="18"/>
                <w:szCs w:val="18"/>
              </w:rPr>
            </w:pPr>
            <w:r>
              <w:rPr>
                <w:rFonts w:cstheme="minorHAnsi"/>
                <w:sz w:val="18"/>
                <w:szCs w:val="18"/>
              </w:rPr>
              <w:t>24,25</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lang w:val="en-US"/>
              </w:rPr>
            </w:pPr>
            <w:r>
              <w:rPr>
                <w:rFonts w:cstheme="minorHAnsi"/>
                <w:sz w:val="18"/>
                <w:szCs w:val="18"/>
              </w:rPr>
              <w:t>25,70</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rPr>
            </w:pPr>
            <w:r>
              <w:rPr>
                <w:rFonts w:cstheme="minorHAnsi"/>
                <w:sz w:val="18"/>
                <w:szCs w:val="18"/>
              </w:rPr>
              <w:t>26,55</w:t>
            </w:r>
          </w:p>
        </w:tc>
        <w:tc>
          <w:tcPr>
            <w:tcW w:w="96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253"/>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sz w:val="18"/>
                <w:szCs w:val="18"/>
              </w:rPr>
            </w:pPr>
            <w:r>
              <w:rPr>
                <w:rFonts w:ascii="Calibri" w:hAnsi="Calibri"/>
                <w:sz w:val="18"/>
                <w:szCs w:val="18"/>
              </w:rPr>
              <w:t>Barito Selatan</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16"/>
              <w:jc w:val="right"/>
              <w:rPr>
                <w:rFonts w:cstheme="minorHAnsi"/>
                <w:color w:val="FF0000"/>
                <w:sz w:val="18"/>
                <w:szCs w:val="18"/>
              </w:rPr>
            </w:pPr>
            <w:r>
              <w:rPr>
                <w:rFonts w:cstheme="minorHAnsi"/>
                <w:sz w:val="18"/>
                <w:szCs w:val="18"/>
              </w:rPr>
              <w:t>12,55</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150"/>
              <w:jc w:val="right"/>
              <w:rPr>
                <w:rFonts w:cstheme="minorHAnsi"/>
                <w:color w:val="FF0000"/>
                <w:sz w:val="18"/>
                <w:szCs w:val="18"/>
              </w:rPr>
            </w:pPr>
            <w:r>
              <w:rPr>
                <w:rFonts w:cstheme="minorHAnsi"/>
                <w:sz w:val="18"/>
                <w:szCs w:val="18"/>
              </w:rPr>
              <w:t>26,27</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lang w:val="en-US"/>
              </w:rPr>
            </w:pPr>
            <w:r>
              <w:rPr>
                <w:rFonts w:cstheme="minorHAnsi"/>
                <w:sz w:val="18"/>
                <w:szCs w:val="18"/>
              </w:rPr>
              <w:t>25,04</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36,14</w:t>
            </w:r>
          </w:p>
        </w:tc>
        <w:tc>
          <w:tcPr>
            <w:tcW w:w="9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sz w:val="18"/>
                <w:szCs w:val="18"/>
              </w:rPr>
            </w:pPr>
            <w:r>
              <w:rPr>
                <w:rFonts w:ascii="Calibri" w:hAnsi="Calibri"/>
                <w:sz w:val="18"/>
                <w:szCs w:val="18"/>
              </w:rPr>
              <w:t>Barito Utara</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16"/>
              <w:jc w:val="right"/>
              <w:rPr>
                <w:rFonts w:cstheme="minorHAnsi"/>
                <w:color w:val="FF0000"/>
                <w:sz w:val="18"/>
                <w:szCs w:val="18"/>
              </w:rPr>
            </w:pPr>
            <w:r>
              <w:rPr>
                <w:rFonts w:cstheme="minorHAnsi"/>
                <w:sz w:val="18"/>
                <w:szCs w:val="18"/>
              </w:rPr>
              <w:t>13,06</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150"/>
              <w:jc w:val="right"/>
              <w:rPr>
                <w:rFonts w:cstheme="minorHAnsi"/>
                <w:color w:val="FF0000"/>
                <w:sz w:val="18"/>
                <w:szCs w:val="18"/>
              </w:rPr>
            </w:pPr>
            <w:r>
              <w:rPr>
                <w:rFonts w:cstheme="minorHAnsi"/>
                <w:sz w:val="18"/>
                <w:szCs w:val="18"/>
              </w:rPr>
              <w:t>19,42</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lang w:val="en-US"/>
              </w:rPr>
            </w:pPr>
            <w:r>
              <w:rPr>
                <w:rFonts w:cstheme="minorHAnsi"/>
                <w:sz w:val="18"/>
                <w:szCs w:val="18"/>
              </w:rPr>
              <w:t>25,95</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rPr>
            </w:pPr>
            <w:r>
              <w:rPr>
                <w:rFonts w:cstheme="minorHAnsi"/>
                <w:sz w:val="18"/>
                <w:szCs w:val="18"/>
              </w:rPr>
              <w:t>41,57</w:t>
            </w:r>
          </w:p>
        </w:tc>
        <w:tc>
          <w:tcPr>
            <w:tcW w:w="96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sz w:val="18"/>
                <w:szCs w:val="18"/>
              </w:rPr>
            </w:pPr>
            <w:r>
              <w:rPr>
                <w:rFonts w:ascii="Calibri" w:hAnsi="Calibri"/>
                <w:sz w:val="18"/>
                <w:szCs w:val="18"/>
              </w:rPr>
              <w:t>Sukamara</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16"/>
              <w:jc w:val="right"/>
              <w:rPr>
                <w:rFonts w:cstheme="minorHAnsi"/>
                <w:color w:val="FF0000"/>
                <w:sz w:val="18"/>
                <w:szCs w:val="18"/>
              </w:rPr>
            </w:pPr>
            <w:r>
              <w:rPr>
                <w:rFonts w:cstheme="minorHAnsi"/>
                <w:sz w:val="18"/>
                <w:szCs w:val="18"/>
              </w:rPr>
              <w:t>16,48</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150"/>
              <w:jc w:val="right"/>
              <w:rPr>
                <w:rFonts w:cstheme="minorHAnsi"/>
                <w:color w:val="FF0000"/>
                <w:sz w:val="18"/>
                <w:szCs w:val="18"/>
              </w:rPr>
            </w:pPr>
            <w:r>
              <w:rPr>
                <w:rFonts w:cstheme="minorHAnsi"/>
                <w:sz w:val="18"/>
                <w:szCs w:val="18"/>
              </w:rPr>
              <w:t>24,95</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lang w:val="en-US"/>
              </w:rPr>
            </w:pPr>
            <w:r>
              <w:rPr>
                <w:rFonts w:cstheme="minorHAnsi"/>
                <w:sz w:val="18"/>
                <w:szCs w:val="18"/>
              </w:rPr>
              <w:t>21,12</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37,45</w:t>
            </w:r>
          </w:p>
        </w:tc>
        <w:tc>
          <w:tcPr>
            <w:tcW w:w="9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sz w:val="18"/>
                <w:szCs w:val="18"/>
              </w:rPr>
            </w:pPr>
            <w:r>
              <w:rPr>
                <w:rFonts w:ascii="Calibri" w:hAnsi="Calibri"/>
                <w:sz w:val="18"/>
                <w:szCs w:val="18"/>
              </w:rPr>
              <w:t>Lamandau</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16"/>
              <w:jc w:val="right"/>
              <w:rPr>
                <w:rFonts w:cstheme="minorHAnsi"/>
                <w:color w:val="FF0000"/>
                <w:sz w:val="18"/>
                <w:szCs w:val="18"/>
              </w:rPr>
            </w:pPr>
            <w:r>
              <w:rPr>
                <w:rFonts w:cstheme="minorHAnsi"/>
                <w:sz w:val="18"/>
                <w:szCs w:val="18"/>
              </w:rPr>
              <w:t>20,78</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150"/>
              <w:jc w:val="right"/>
              <w:rPr>
                <w:rFonts w:cstheme="minorHAnsi"/>
                <w:color w:val="FF0000"/>
                <w:sz w:val="18"/>
                <w:szCs w:val="18"/>
              </w:rPr>
            </w:pPr>
            <w:r>
              <w:rPr>
                <w:rFonts w:cstheme="minorHAnsi"/>
                <w:sz w:val="18"/>
                <w:szCs w:val="18"/>
              </w:rPr>
              <w:t>23,69</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lang w:val="en-US"/>
              </w:rPr>
            </w:pPr>
            <w:r>
              <w:rPr>
                <w:rFonts w:cstheme="minorHAnsi"/>
                <w:sz w:val="18"/>
                <w:szCs w:val="18"/>
              </w:rPr>
              <w:t>20,64</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rPr>
            </w:pPr>
            <w:r>
              <w:rPr>
                <w:rFonts w:cstheme="minorHAnsi"/>
                <w:sz w:val="18"/>
                <w:szCs w:val="18"/>
              </w:rPr>
              <w:t>34,88</w:t>
            </w:r>
          </w:p>
        </w:tc>
        <w:tc>
          <w:tcPr>
            <w:tcW w:w="96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sz w:val="18"/>
                <w:szCs w:val="18"/>
              </w:rPr>
            </w:pPr>
            <w:r>
              <w:rPr>
                <w:rFonts w:ascii="Calibri" w:hAnsi="Calibri"/>
                <w:sz w:val="18"/>
                <w:szCs w:val="18"/>
              </w:rPr>
              <w:t>Seruyan</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16"/>
              <w:jc w:val="right"/>
              <w:rPr>
                <w:rFonts w:cstheme="minorHAnsi"/>
                <w:color w:val="FF0000"/>
                <w:sz w:val="18"/>
                <w:szCs w:val="18"/>
              </w:rPr>
            </w:pPr>
            <w:r>
              <w:rPr>
                <w:rFonts w:cstheme="minorHAnsi"/>
                <w:sz w:val="18"/>
                <w:szCs w:val="18"/>
              </w:rPr>
              <w:t>14,93</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150"/>
              <w:jc w:val="right"/>
              <w:rPr>
                <w:rFonts w:cstheme="minorHAnsi"/>
                <w:color w:val="FF0000"/>
                <w:sz w:val="18"/>
                <w:szCs w:val="18"/>
              </w:rPr>
            </w:pPr>
            <w:r>
              <w:rPr>
                <w:rFonts w:cstheme="minorHAnsi"/>
                <w:sz w:val="18"/>
                <w:szCs w:val="18"/>
              </w:rPr>
              <w:t>27,80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lang w:val="en-US"/>
              </w:rPr>
            </w:pPr>
            <w:r>
              <w:rPr>
                <w:rFonts w:cstheme="minorHAnsi"/>
                <w:sz w:val="18"/>
                <w:szCs w:val="18"/>
              </w:rPr>
              <w:t>26,41</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30,86</w:t>
            </w:r>
          </w:p>
        </w:tc>
        <w:tc>
          <w:tcPr>
            <w:tcW w:w="9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sz w:val="18"/>
                <w:szCs w:val="18"/>
              </w:rPr>
            </w:pPr>
            <w:r>
              <w:rPr>
                <w:rFonts w:ascii="Calibri" w:hAnsi="Calibri"/>
                <w:sz w:val="18"/>
                <w:szCs w:val="18"/>
              </w:rPr>
              <w:t>Katingan</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16"/>
              <w:jc w:val="right"/>
              <w:rPr>
                <w:rFonts w:cstheme="minorHAnsi"/>
                <w:color w:val="FF0000"/>
                <w:sz w:val="18"/>
                <w:szCs w:val="18"/>
              </w:rPr>
            </w:pPr>
            <w:r>
              <w:rPr>
                <w:rFonts w:cstheme="minorHAnsi"/>
                <w:sz w:val="18"/>
                <w:szCs w:val="18"/>
              </w:rPr>
              <w:t>17,67</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150"/>
              <w:jc w:val="right"/>
              <w:rPr>
                <w:rFonts w:cstheme="minorHAnsi"/>
                <w:color w:val="FF0000"/>
                <w:sz w:val="18"/>
                <w:szCs w:val="18"/>
              </w:rPr>
            </w:pPr>
            <w:r>
              <w:rPr>
                <w:rFonts w:cstheme="minorHAnsi"/>
                <w:sz w:val="18"/>
                <w:szCs w:val="18"/>
              </w:rPr>
              <w:t>22,37</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lang w:val="en-US"/>
              </w:rPr>
            </w:pPr>
            <w:r>
              <w:rPr>
                <w:rFonts w:cstheme="minorHAnsi"/>
                <w:sz w:val="18"/>
                <w:szCs w:val="18"/>
              </w:rPr>
              <w:t>24,90</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rPr>
            </w:pPr>
            <w:r>
              <w:rPr>
                <w:rFonts w:cstheme="minorHAnsi"/>
                <w:sz w:val="18"/>
                <w:szCs w:val="18"/>
              </w:rPr>
              <w:t>35,07</w:t>
            </w:r>
          </w:p>
        </w:tc>
        <w:tc>
          <w:tcPr>
            <w:tcW w:w="96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sz w:val="18"/>
                <w:szCs w:val="18"/>
              </w:rPr>
            </w:pPr>
            <w:r>
              <w:rPr>
                <w:rFonts w:ascii="Calibri" w:hAnsi="Calibri"/>
                <w:sz w:val="18"/>
                <w:szCs w:val="18"/>
              </w:rPr>
              <w:t>Pulang Pisau</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16"/>
              <w:jc w:val="right"/>
              <w:rPr>
                <w:rFonts w:cstheme="minorHAnsi"/>
                <w:color w:val="FF0000"/>
                <w:sz w:val="18"/>
                <w:szCs w:val="18"/>
              </w:rPr>
            </w:pPr>
            <w:r>
              <w:rPr>
                <w:rFonts w:cstheme="minorHAnsi"/>
                <w:sz w:val="18"/>
                <w:szCs w:val="18"/>
              </w:rPr>
              <w:t>17,06</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150"/>
              <w:jc w:val="right"/>
              <w:rPr>
                <w:rFonts w:cstheme="minorHAnsi"/>
                <w:color w:val="FF0000"/>
                <w:sz w:val="18"/>
                <w:szCs w:val="18"/>
              </w:rPr>
            </w:pPr>
            <w:r>
              <w:rPr>
                <w:rFonts w:cstheme="minorHAnsi"/>
                <w:sz w:val="18"/>
                <w:szCs w:val="18"/>
              </w:rPr>
              <w:t>22,07</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lang w:val="en-US"/>
              </w:rPr>
            </w:pPr>
            <w:r>
              <w:rPr>
                <w:rFonts w:cstheme="minorHAnsi"/>
                <w:sz w:val="18"/>
                <w:szCs w:val="18"/>
              </w:rPr>
              <w:t>23,98</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36,89</w:t>
            </w:r>
          </w:p>
        </w:tc>
        <w:tc>
          <w:tcPr>
            <w:tcW w:w="9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sz w:val="18"/>
                <w:szCs w:val="18"/>
              </w:rPr>
            </w:pPr>
            <w:r>
              <w:rPr>
                <w:rFonts w:ascii="Calibri" w:hAnsi="Calibri"/>
                <w:sz w:val="18"/>
                <w:szCs w:val="18"/>
              </w:rPr>
              <w:t>Gunung Mas</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16"/>
              <w:jc w:val="right"/>
              <w:rPr>
                <w:rFonts w:cstheme="minorHAnsi"/>
                <w:color w:val="FF0000"/>
                <w:sz w:val="18"/>
                <w:szCs w:val="18"/>
              </w:rPr>
            </w:pPr>
            <w:r>
              <w:rPr>
                <w:rFonts w:cstheme="minorHAnsi"/>
                <w:sz w:val="18"/>
                <w:szCs w:val="18"/>
              </w:rPr>
              <w:t>20,45</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150"/>
              <w:jc w:val="right"/>
              <w:rPr>
                <w:rFonts w:cstheme="minorHAnsi"/>
                <w:color w:val="FF0000"/>
                <w:sz w:val="18"/>
                <w:szCs w:val="18"/>
              </w:rPr>
            </w:pPr>
            <w:r>
              <w:rPr>
                <w:rFonts w:cstheme="minorHAnsi"/>
                <w:sz w:val="18"/>
                <w:szCs w:val="18"/>
              </w:rPr>
              <w:t>26,71</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lang w:val="en-US"/>
              </w:rPr>
            </w:pPr>
            <w:r>
              <w:rPr>
                <w:rFonts w:cstheme="minorHAnsi"/>
                <w:sz w:val="18"/>
                <w:szCs w:val="18"/>
              </w:rPr>
              <w:t>21,82</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rPr>
            </w:pPr>
            <w:r>
              <w:rPr>
                <w:rFonts w:cstheme="minorHAnsi"/>
                <w:sz w:val="18"/>
                <w:szCs w:val="18"/>
              </w:rPr>
              <w:t>31,02</w:t>
            </w:r>
          </w:p>
        </w:tc>
        <w:tc>
          <w:tcPr>
            <w:tcW w:w="96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sz w:val="18"/>
                <w:szCs w:val="18"/>
              </w:rPr>
            </w:pPr>
            <w:r>
              <w:rPr>
                <w:rFonts w:ascii="Calibri" w:hAnsi="Calibri"/>
                <w:sz w:val="18"/>
                <w:szCs w:val="18"/>
              </w:rPr>
              <w:t>Barito Timur</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16"/>
              <w:jc w:val="right"/>
              <w:rPr>
                <w:rFonts w:cstheme="minorHAnsi"/>
                <w:color w:val="FF0000"/>
                <w:sz w:val="18"/>
                <w:szCs w:val="18"/>
              </w:rPr>
            </w:pPr>
            <w:r>
              <w:rPr>
                <w:rFonts w:cstheme="minorHAnsi"/>
                <w:sz w:val="18"/>
                <w:szCs w:val="18"/>
              </w:rPr>
              <w:t>16,19</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150"/>
              <w:jc w:val="right"/>
              <w:rPr>
                <w:rFonts w:cstheme="minorHAnsi"/>
                <w:color w:val="FF0000"/>
                <w:sz w:val="18"/>
                <w:szCs w:val="18"/>
              </w:rPr>
            </w:pPr>
            <w:r>
              <w:rPr>
                <w:rFonts w:cstheme="minorHAnsi"/>
                <w:sz w:val="18"/>
                <w:szCs w:val="18"/>
              </w:rPr>
              <w:t>19,98</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lang w:val="en-US"/>
              </w:rPr>
            </w:pPr>
            <w:r>
              <w:rPr>
                <w:rFonts w:cstheme="minorHAnsi"/>
                <w:sz w:val="18"/>
                <w:szCs w:val="18"/>
              </w:rPr>
              <w:t>20,03</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43,80</w:t>
            </w:r>
          </w:p>
        </w:tc>
        <w:tc>
          <w:tcPr>
            <w:tcW w:w="9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sz w:val="18"/>
                <w:szCs w:val="18"/>
              </w:rPr>
            </w:pPr>
            <w:r>
              <w:rPr>
                <w:rFonts w:ascii="Calibri" w:hAnsi="Calibri"/>
                <w:sz w:val="18"/>
                <w:szCs w:val="18"/>
              </w:rPr>
              <w:t>Murung Raya</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16"/>
              <w:jc w:val="right"/>
              <w:rPr>
                <w:rFonts w:cstheme="minorHAnsi"/>
                <w:color w:val="FF0000"/>
                <w:sz w:val="18"/>
                <w:szCs w:val="18"/>
              </w:rPr>
            </w:pPr>
            <w:r>
              <w:rPr>
                <w:rFonts w:cstheme="minorHAnsi"/>
                <w:sz w:val="18"/>
                <w:szCs w:val="18"/>
              </w:rPr>
              <w:t>19,02</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150"/>
              <w:jc w:val="right"/>
              <w:rPr>
                <w:rFonts w:cstheme="minorHAnsi"/>
                <w:color w:val="FF0000"/>
                <w:sz w:val="18"/>
                <w:szCs w:val="18"/>
              </w:rPr>
            </w:pPr>
            <w:r>
              <w:rPr>
                <w:rFonts w:cstheme="minorHAnsi"/>
                <w:sz w:val="18"/>
                <w:szCs w:val="18"/>
              </w:rPr>
              <w:t>24,61</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lang w:val="en-US"/>
              </w:rPr>
            </w:pPr>
            <w:r>
              <w:rPr>
                <w:rFonts w:cstheme="minorHAnsi"/>
                <w:sz w:val="18"/>
                <w:szCs w:val="18"/>
              </w:rPr>
              <w:t>25,23</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sz w:val="18"/>
                <w:szCs w:val="18"/>
              </w:rPr>
            </w:pPr>
            <w:r>
              <w:rPr>
                <w:rFonts w:cstheme="minorHAnsi"/>
                <w:sz w:val="18"/>
                <w:szCs w:val="18"/>
              </w:rPr>
              <w:t>31,14</w:t>
            </w:r>
          </w:p>
        </w:tc>
        <w:tc>
          <w:tcPr>
            <w:tcW w:w="96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40"/>
        </w:trPr>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rPr>
                <w:rFonts w:ascii="Calibri" w:hAnsi="Calibri"/>
                <w:sz w:val="18"/>
                <w:szCs w:val="18"/>
              </w:rPr>
            </w:pPr>
            <w:r>
              <w:rPr>
                <w:rFonts w:ascii="Calibri" w:hAnsi="Calibri"/>
                <w:sz w:val="18"/>
                <w:szCs w:val="18"/>
              </w:rPr>
              <w:t>Palangka Raya</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216"/>
              <w:jc w:val="right"/>
              <w:rPr>
                <w:rFonts w:cstheme="minorHAnsi"/>
                <w:color w:val="FF0000"/>
                <w:sz w:val="18"/>
                <w:szCs w:val="18"/>
              </w:rPr>
            </w:pPr>
            <w:r>
              <w:rPr>
                <w:rFonts w:cstheme="minorHAnsi"/>
                <w:sz w:val="18"/>
                <w:szCs w:val="18"/>
              </w:rPr>
              <w:t>8,47</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ind w:right="150"/>
              <w:jc w:val="right"/>
              <w:rPr>
                <w:rFonts w:cstheme="minorHAnsi"/>
                <w:color w:val="FF0000"/>
                <w:sz w:val="18"/>
                <w:szCs w:val="18"/>
              </w:rPr>
            </w:pPr>
            <w:r>
              <w:rPr>
                <w:rFonts w:cstheme="minorHAnsi"/>
                <w:sz w:val="18"/>
                <w:szCs w:val="18"/>
              </w:rPr>
              <w:t>16,60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lang w:val="en-US"/>
              </w:rPr>
            </w:pPr>
            <w:r>
              <w:rPr>
                <w:rFonts w:cstheme="minorHAnsi"/>
                <w:sz w:val="18"/>
                <w:szCs w:val="18"/>
              </w:rPr>
              <w:t>21,49</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53,44</w:t>
            </w:r>
          </w:p>
        </w:tc>
        <w:tc>
          <w:tcPr>
            <w:tcW w:w="9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after="0"/>
              <w:jc w:val="right"/>
              <w:rPr>
                <w:rFonts w:ascii="Calibri" w:hAnsi="Calibri" w:cs="Times New Roman"/>
                <w:sz w:val="18"/>
                <w:szCs w:val="18"/>
              </w:rPr>
            </w:pPr>
            <w:r>
              <w:rPr>
                <w:rFonts w:ascii="Calibri" w:hAnsi="Calibri"/>
                <w:sz w:val="18"/>
                <w:szCs w:val="18"/>
              </w:rPr>
              <w:t>100,00</w:t>
            </w:r>
          </w:p>
        </w:tc>
      </w:tr>
      <w:tr>
        <w:trPr>
          <w:cantSplit/>
          <w:trHeight w:val="397"/>
        </w:trPr>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rPr>
                <w:rFonts w:ascii="Calibri" w:hAnsi="Calibri"/>
                <w:b/>
                <w:sz w:val="18"/>
                <w:szCs w:val="18"/>
              </w:rPr>
            </w:pPr>
            <w:r>
              <w:rPr>
                <w:rFonts w:ascii="Calibri" w:hAnsi="Calibri"/>
                <w:b/>
                <w:sz w:val="18"/>
                <w:szCs w:val="18"/>
              </w:rPr>
              <w:t>Kalimantan Tengah</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216"/>
              <w:jc w:val="right"/>
              <w:rPr>
                <w:rFonts w:cstheme="minorHAnsi"/>
                <w:b/>
                <w:bCs/>
                <w:color w:val="FF0000"/>
                <w:sz w:val="18"/>
                <w:szCs w:val="18"/>
              </w:rPr>
            </w:pPr>
            <w:r>
              <w:rPr>
                <w:rFonts w:cstheme="minorHAnsi"/>
                <w:b/>
                <w:bCs/>
                <w:sz w:val="18"/>
                <w:szCs w:val="18"/>
              </w:rPr>
              <w:t>17,51</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ind w:right="150"/>
              <w:jc w:val="right"/>
              <w:rPr>
                <w:rFonts w:cstheme="minorHAnsi"/>
                <w:b/>
                <w:bCs/>
                <w:color w:val="FF0000"/>
                <w:sz w:val="18"/>
                <w:szCs w:val="18"/>
              </w:rPr>
            </w:pPr>
            <w:r>
              <w:rPr>
                <w:rFonts w:cstheme="minorHAnsi"/>
                <w:b/>
                <w:bCs/>
                <w:sz w:val="18"/>
                <w:szCs w:val="18"/>
              </w:rPr>
              <w:t>22,74</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b/>
                <w:bCs/>
                <w:sz w:val="18"/>
                <w:szCs w:val="18"/>
                <w:lang w:val="en-US"/>
              </w:rPr>
            </w:pPr>
            <w:r>
              <w:rPr>
                <w:rFonts w:cstheme="minorHAnsi"/>
                <w:b/>
                <w:bCs/>
                <w:sz w:val="18"/>
                <w:szCs w:val="18"/>
              </w:rPr>
              <w:t>23,97</w:t>
            </w:r>
          </w:p>
        </w:tc>
        <w:tc>
          <w:tcPr>
            <w:tcW w:w="851"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cstheme="minorHAnsi"/>
                <w:b/>
                <w:bCs/>
                <w:sz w:val="18"/>
                <w:szCs w:val="18"/>
              </w:rPr>
            </w:pPr>
            <w:r>
              <w:rPr>
                <w:rFonts w:cstheme="minorHAnsi"/>
                <w:b/>
                <w:bCs/>
                <w:sz w:val="18"/>
                <w:szCs w:val="18"/>
              </w:rPr>
              <w:t>35,78</w:t>
            </w:r>
          </w:p>
        </w:tc>
        <w:tc>
          <w:tcPr>
            <w:tcW w:w="968" w:type="dxa"/>
            <w:tcBorders>
              <w:top w:val="single" w:sz="4" w:space="0" w:color="auto"/>
              <w:left w:val="single" w:sz="4" w:space="0" w:color="auto"/>
              <w:bottom w:val="single" w:sz="4" w:space="0" w:color="auto"/>
              <w:right w:val="single" w:sz="4" w:space="0" w:color="auto"/>
            </w:tcBorders>
            <w:shd w:val="clear" w:color="auto" w:fill="EAF1DD"/>
            <w:vAlign w:val="center"/>
            <w:hideMark/>
          </w:tcPr>
          <w:p>
            <w:pPr>
              <w:spacing w:after="0"/>
              <w:jc w:val="right"/>
              <w:rPr>
                <w:rFonts w:ascii="Calibri" w:hAnsi="Calibri" w:cs="Times New Roman"/>
                <w:b/>
                <w:bCs/>
                <w:sz w:val="18"/>
                <w:szCs w:val="18"/>
              </w:rPr>
            </w:pPr>
            <w:r>
              <w:rPr>
                <w:rFonts w:ascii="Calibri" w:hAnsi="Calibri"/>
                <w:b/>
                <w:bCs/>
                <w:sz w:val="18"/>
                <w:szCs w:val="18"/>
              </w:rPr>
              <w:t>100,00</w:t>
            </w:r>
          </w:p>
        </w:tc>
      </w:tr>
    </w:tbl>
    <w:p>
      <w:pPr>
        <w:ind w:left="993" w:hanging="709"/>
        <w:jc w:val="both"/>
        <w:rPr>
          <w:rFonts w:ascii="Calibri" w:hAnsi="Calibri" w:cs="Calibri"/>
          <w:bCs/>
          <w:i/>
          <w:sz w:val="18"/>
          <w:szCs w:val="18"/>
        </w:rPr>
      </w:pPr>
      <w:r>
        <w:rPr>
          <w:rFonts w:ascii="Calibri" w:hAnsi="Calibri" w:cs="Calibri"/>
          <w:bCs/>
          <w:i/>
          <w:sz w:val="18"/>
          <w:szCs w:val="18"/>
        </w:rPr>
        <w:t>Sumber: BPS, Susenas Maret 2021</w:t>
      </w:r>
    </w:p>
    <w:p/>
    <w:p/>
    <w:p/>
    <w:p>
      <w:r>
        <w:rPr>
          <w:noProof/>
          <w:lang w:val="en-ID" w:eastAsia="en-ID"/>
        </w:rPr>
        <mc:AlternateContent>
          <mc:Choice Requires="wps">
            <w:drawing>
              <wp:anchor distT="0" distB="0" distL="114300" distR="114300" simplePos="0" relativeHeight="251742720" behindDoc="0" locked="0" layoutInCell="1" allowOverlap="1">
                <wp:simplePos x="0" y="0"/>
                <wp:positionH relativeFrom="page">
                  <wp:align>left</wp:align>
                </wp:positionH>
                <wp:positionV relativeFrom="paragraph">
                  <wp:posOffset>-901708</wp:posOffset>
                </wp:positionV>
                <wp:extent cx="5319716" cy="866899"/>
                <wp:effectExtent l="0" t="0" r="14605" b="28575"/>
                <wp:wrapNone/>
                <wp:docPr id="107" name="Rectangle 107"/>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8F9CD" id="Rectangle 107" o:spid="_x0000_s1026" style="position:absolute;margin-left:0;margin-top:-71pt;width:418.9pt;height:68.25pt;z-index:2517427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" fillcolor="white [3212]" strokecolor="white [3212]" strokeweight="2pt">
                <w10:wrap anchorx="page"/>
              </v:rect>
            </w:pict>
          </mc:Fallback>
        </mc:AlternateContent>
      </w:r>
    </w:p>
    <w:p>
      <w:r>
        <w:rPr>
          <w:noProof/>
          <w:lang w:val="en-ID" w:eastAsia="en-ID"/>
        </w:rPr>
        <mc:AlternateContent>
          <mc:Choice Requires="wps">
            <w:drawing>
              <wp:anchor distT="0" distB="0" distL="114300" distR="114300" simplePos="0" relativeHeight="251800064" behindDoc="0" locked="0" layoutInCell="1" allowOverlap="1">
                <wp:simplePos x="0" y="0"/>
                <wp:positionH relativeFrom="margin">
                  <wp:align>center</wp:align>
                </wp:positionH>
                <wp:positionV relativeFrom="paragraph">
                  <wp:posOffset>-928704</wp:posOffset>
                </wp:positionV>
                <wp:extent cx="5319716" cy="866899"/>
                <wp:effectExtent l="0" t="0" r="14605" b="28575"/>
                <wp:wrapNone/>
                <wp:docPr id="110" name="Rectangle 110"/>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33B7D" id="Rectangle 110" o:spid="_x0000_s1026" style="position:absolute;margin-left:0;margin-top:-73.15pt;width:418.9pt;height:68.25pt;z-index:251800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" fillcolor="white [3212]" strokecolor="white [3212]" strokeweight="2pt">
                <w10:wrap anchorx="margin"/>
              </v:rect>
            </w:pict>
          </mc:Fallback>
        </mc:AlternateContent>
      </w:r>
    </w:p>
    <w:p/>
    <w:p/>
    <w:p/>
    <w:p/>
    <w:p/>
    <w:p/>
    <w:p/>
    <w:p/>
    <w:p/>
    <w:p/>
    <w:p/>
    <w:p/>
    <w:p/>
    <w:p/>
    <w:p/>
    <w:p/>
    <w:p>
      <w:r>
        <w:rPr>
          <w:noProof/>
          <w:lang w:val="en-ID" w:eastAsia="en-ID"/>
        </w:rPr>
        <mc:AlternateContent>
          <mc:Choice Requires="wps">
            <w:drawing>
              <wp:anchor distT="0" distB="0" distL="114300" distR="114300" simplePos="0" relativeHeight="251746816" behindDoc="0" locked="0" layoutInCell="1" allowOverlap="1">
                <wp:simplePos x="0" y="0"/>
                <wp:positionH relativeFrom="page">
                  <wp:posOffset>-21969</wp:posOffset>
                </wp:positionH>
                <wp:positionV relativeFrom="paragraph">
                  <wp:posOffset>335395</wp:posOffset>
                </wp:positionV>
                <wp:extent cx="5319716" cy="866899"/>
                <wp:effectExtent l="0" t="0" r="14605" b="28575"/>
                <wp:wrapNone/>
                <wp:docPr id="109" name="Rectangle 109"/>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4EFB7F" id="Rectangle 109" o:spid="_x0000_s1026" style="position:absolute;margin-left:-1.75pt;margin-top:26.4pt;width:418.9pt;height:68.25pt;z-index:251746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" fillcolor="white [3212]" strokecolor="white [3212]" strokeweight="2pt">
                <w10:wrap anchorx="page"/>
              </v:rect>
            </w:pict>
          </mc:Fallback>
        </mc:AlternateContent>
      </w:r>
    </w:p>
    <w:p>
      <w:pPr>
        <w:rPr>
          <w:noProof/>
          <w:lang w:val="en-US"/>
        </w:rPr>
      </w:pPr>
      <w:r>
        <w:rPr>
          <w:noProof/>
          <w:lang w:val="en-ID" w:eastAsia="en-ID"/>
        </w:rPr>
        <w:drawing>
          <wp:anchor distT="0" distB="0" distL="114300" distR="114300" simplePos="0" relativeHeight="251712000" behindDoc="0" locked="0" layoutInCell="1" allowOverlap="1">
            <wp:simplePos x="0" y="0"/>
            <wp:positionH relativeFrom="page">
              <wp:align>right</wp:align>
            </wp:positionH>
            <wp:positionV relativeFrom="paragraph">
              <wp:posOffset>-903605</wp:posOffset>
            </wp:positionV>
            <wp:extent cx="5303533" cy="7517081"/>
            <wp:effectExtent l="0" t="0" r="0" b="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03533" cy="7517081"/>
                    </a:xfrm>
                    <a:prstGeom prst="rect">
                      <a:avLst/>
                    </a:prstGeom>
                  </pic:spPr>
                </pic:pic>
              </a:graphicData>
            </a:graphic>
            <wp14:sizeRelH relativeFrom="page">
              <wp14:pctWidth>0</wp14:pctWidth>
            </wp14:sizeRelH>
            <wp14:sizeRelV relativeFrom="page">
              <wp14:pctHeight>0</wp14:pctHeight>
            </wp14:sizeRelV>
          </wp:anchor>
        </w:drawing>
      </w:r>
    </w:p>
    <w:p>
      <w:pPr>
        <w:rPr>
          <w:noProof/>
          <w:lang w:val="en-US"/>
        </w:rPr>
      </w:pPr>
    </w:p>
    <w:p>
      <w:pPr>
        <w:rPr>
          <w:noProof/>
          <w:lang w:val="en-US"/>
        </w:rPr>
      </w:pPr>
    </w:p>
    <w:p>
      <w:pPr>
        <w:rPr>
          <w:noProof/>
          <w:lang w:val="en-US"/>
        </w:rPr>
      </w:pPr>
    </w:p>
    <w:p>
      <w:pPr>
        <w:rPr>
          <w:noProof/>
          <w:lang w:val="en-US"/>
        </w:rPr>
      </w:pPr>
    </w:p>
    <w:p/>
    <w:p>
      <w:pPr>
        <w:rPr>
          <w:lang w:val="en-US"/>
        </w:rPr>
      </w:pPr>
      <w:r>
        <w:rPr>
          <w:lang w:val="en-US"/>
        </w:rPr>
        <w:t>Infografis Bab 6</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ID" w:eastAsia="en-ID"/>
        </w:rPr>
        <mc:AlternateContent>
          <mc:Choice Requires="wps">
            <w:drawing>
              <wp:anchor distT="0" distB="0" distL="114300" distR="114300" simplePos="0" relativeHeight="251744768" behindDoc="0" locked="0" layoutInCell="1" allowOverlap="1">
                <wp:simplePos x="0" y="0"/>
                <wp:positionH relativeFrom="page">
                  <wp:align>right</wp:align>
                </wp:positionH>
                <wp:positionV relativeFrom="paragraph">
                  <wp:posOffset>-865142</wp:posOffset>
                </wp:positionV>
                <wp:extent cx="5319716" cy="866899"/>
                <wp:effectExtent l="0" t="0" r="14605" b="28575"/>
                <wp:wrapNone/>
                <wp:docPr id="108" name="Rectangle 108"/>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1FCCD" id="Rectangle 108" o:spid="_x0000_s1026" style="position:absolute;margin-left:367.7pt;margin-top:-68.1pt;width:418.9pt;height:68.25pt;z-index:2517447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" fillcolor="white [3212]" strokecolor="white [3212]" strokeweight="2pt">
                <w10:wrap anchorx="page"/>
              </v:rect>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r>
        <w:rPr>
          <w:noProof/>
          <w:lang w:val="en-ID" w:eastAsia="en-ID"/>
        </w:rPr>
        <mc:AlternateContent>
          <mc:Choice Requires="wps">
            <w:drawing>
              <wp:anchor distT="0" distB="0" distL="114300" distR="114300" simplePos="0" relativeHeight="251740672" behindDoc="0" locked="0" layoutInCell="1" allowOverlap="1">
                <wp:simplePos x="0" y="0"/>
                <wp:positionH relativeFrom="page">
                  <wp:align>left</wp:align>
                </wp:positionH>
                <wp:positionV relativeFrom="paragraph">
                  <wp:posOffset>-752121</wp:posOffset>
                </wp:positionV>
                <wp:extent cx="5319716" cy="866899"/>
                <wp:effectExtent l="0" t="0" r="14605" b="28575"/>
                <wp:wrapNone/>
                <wp:docPr id="106" name="Rectangle 106"/>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32926" id="Rectangle 106" o:spid="_x0000_s1026" style="position:absolute;margin-left:0;margin-top:-59.2pt;width:418.9pt;height:68.25pt;z-index:25174067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" fillcolor="white [3212]" strokecolor="white [3212]" strokeweight="2pt">
                <w10:wrap anchorx="page"/>
              </v:rect>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ID" w:eastAsia="en-ID"/>
        </w:rPr>
        <mc:AlternateContent>
          <mc:Choice Requires="wps">
            <w:drawing>
              <wp:anchor distT="0" distB="0" distL="114300" distR="114300" simplePos="0" relativeHeight="251738624" behindDoc="0" locked="0" layoutInCell="1" allowOverlap="1">
                <wp:simplePos x="0" y="0"/>
                <wp:positionH relativeFrom="page">
                  <wp:align>left</wp:align>
                </wp:positionH>
                <wp:positionV relativeFrom="paragraph">
                  <wp:posOffset>543560</wp:posOffset>
                </wp:positionV>
                <wp:extent cx="5319716" cy="866899"/>
                <wp:effectExtent l="0" t="0" r="14605" b="28575"/>
                <wp:wrapNone/>
                <wp:docPr id="105" name="Rectangle 105"/>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39048B" id="Rectangle 105" o:spid="_x0000_s1026" style="position:absolute;margin-left:0;margin-top:42.8pt;width:418.9pt;height:68.25pt;z-index:25173862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" fillcolor="white [3212]" strokecolor="white [3212]" strokeweight="2pt">
                <w10:wrap anchorx="page"/>
              </v:rect>
            </w:pict>
          </mc:Fallback>
        </mc:AlternateContent>
      </w:r>
    </w:p>
    <w:p>
      <w:pPr>
        <w:pStyle w:val="Heading1"/>
        <w:spacing w:after="0"/>
        <w:rPr>
          <w:rFonts w:asciiTheme="minorHAnsi" w:hAnsiTheme="minorHAnsi" w:cstheme="minorHAnsi"/>
          <w:sz w:val="32"/>
          <w:lang w:val="en-US"/>
        </w:rPr>
      </w:pPr>
      <w:bookmarkStart w:id="93" w:name="_Toc118715995"/>
      <w:r>
        <w:rPr>
          <w:rFonts w:asciiTheme="minorHAnsi" w:hAnsiTheme="minorHAnsi" w:cstheme="minorHAnsi"/>
          <w:sz w:val="32"/>
          <w:lang w:val="en-US"/>
        </w:rPr>
        <w:t>BAB VI</w:t>
      </w:r>
      <w:bookmarkEnd w:id="93"/>
    </w:p>
    <w:p>
      <w:pPr>
        <w:spacing w:after="0"/>
        <w:jc w:val="center"/>
        <w:rPr>
          <w:rFonts w:cstheme="minorHAnsi"/>
          <w:b/>
          <w:sz w:val="32"/>
          <w:szCs w:val="32"/>
          <w:lang w:val="en-US"/>
        </w:rPr>
      </w:pPr>
      <w:r>
        <w:rPr>
          <w:rFonts w:cstheme="minorHAnsi"/>
          <w:b/>
          <w:sz w:val="32"/>
          <w:szCs w:val="32"/>
          <w:lang w:val="en-US"/>
        </w:rPr>
        <w:t>SEKTOR PUBLIK DAN POLITIK</w:t>
      </w:r>
    </w:p>
    <w:p>
      <w:pPr>
        <w:rPr>
          <w:rFonts w:cstheme="minorHAnsi"/>
          <w:b/>
          <w:sz w:val="20"/>
          <w:szCs w:val="20"/>
          <w:lang w:val="en-US"/>
        </w:rPr>
      </w:pPr>
    </w:p>
    <w:p>
      <w:pPr>
        <w:pStyle w:val="Heading2"/>
        <w:numPr>
          <w:ilvl w:val="0"/>
          <w:numId w:val="0"/>
        </w:numPr>
        <w:ind w:left="284" w:firstLine="567"/>
        <w:rPr>
          <w:rFonts w:asciiTheme="minorHAnsi" w:hAnsiTheme="minorHAnsi" w:cstheme="minorHAnsi"/>
          <w:sz w:val="20"/>
          <w:szCs w:val="20"/>
          <w:lang w:val="en-US"/>
        </w:rPr>
      </w:pPr>
      <w:bookmarkStart w:id="94" w:name="_Toc118715996"/>
      <w:r>
        <w:rPr>
          <w:rFonts w:asciiTheme="minorHAnsi" w:hAnsiTheme="minorHAnsi" w:cstheme="minorHAnsi"/>
          <w:sz w:val="20"/>
          <w:szCs w:val="20"/>
          <w:lang w:val="en-US"/>
        </w:rPr>
        <w:t>6.1</w:t>
      </w:r>
      <w:r>
        <w:rPr>
          <w:rFonts w:asciiTheme="minorHAnsi" w:hAnsiTheme="minorHAnsi" w:cstheme="minorHAnsi"/>
          <w:sz w:val="20"/>
          <w:szCs w:val="20"/>
          <w:lang w:val="en-US"/>
        </w:rPr>
        <w:tab/>
        <w:t>Partisipasi di Lembaga Legislatif</w:t>
      </w:r>
      <w:bookmarkEnd w:id="94"/>
    </w:p>
    <w:p>
      <w:pPr>
        <w:pStyle w:val="NormalWeb"/>
        <w:spacing w:before="0" w:beforeAutospacing="0" w:after="0" w:afterAutospacing="0" w:line="360" w:lineRule="auto"/>
        <w:ind w:left="284" w:firstLine="567"/>
        <w:jc w:val="both"/>
        <w:rPr>
          <w:rFonts w:asciiTheme="minorHAnsi" w:hAnsiTheme="minorHAnsi" w:cstheme="minorHAnsi"/>
          <w:sz w:val="20"/>
          <w:szCs w:val="20"/>
        </w:rPr>
      </w:pPr>
      <w:r>
        <w:rPr>
          <w:rFonts w:asciiTheme="minorHAnsi" w:hAnsiTheme="minorHAnsi" w:cstheme="minorHAnsi"/>
          <w:sz w:val="20"/>
          <w:szCs w:val="20"/>
        </w:rPr>
        <w:t>Perempuan merupakan bagian dari bangsa Indonesia yang sejak dahulu kala berkiprah dalam berbagai bidang kehidupan. Pada dekade akhir pemerintahan Orde Baru, isu gender mulai muncul, sehingga disadari bahwa perempuan harus diberdayakan. Dalam pembangunan yang bernuansa gender, perempuan dan laki-laki harus selalu mendapat akses yang sama dalam pembangunan, dapat berpartisipasi dan dapat mempunyai kesempatan yang sama dalam penetapan keputusan dan akhirnya dapat menikmati keuntungan dari pembangunan tersebut secara bersama-sama.</w:t>
      </w:r>
    </w:p>
    <w:p>
      <w:pPr>
        <w:spacing w:after="0" w:line="360" w:lineRule="auto"/>
        <w:ind w:left="284" w:firstLine="567"/>
        <w:jc w:val="both"/>
        <w:rPr>
          <w:rFonts w:cstheme="minorHAnsi"/>
          <w:sz w:val="20"/>
          <w:szCs w:val="20"/>
        </w:rPr>
      </w:pPr>
      <w:r>
        <w:rPr>
          <w:rFonts w:cstheme="minorHAnsi"/>
          <w:sz w:val="20"/>
          <w:szCs w:val="20"/>
        </w:rPr>
        <w:t>Aspirasi dan kepentingan perempuan dalam pembangunan belum banyak terwujud terutama tentang hak dan kewajiban perempuan untuk turut memutuskan kebijakan pada kelompok eksekutif, legislatif dan yudikatif.  Keadaan ini selalu terjadi mulai dari tingkat bawah sampai tingkat atas diketiga lembaga tersebut.</w:t>
      </w:r>
    </w:p>
    <w:p>
      <w:pPr>
        <w:spacing w:after="0" w:line="360" w:lineRule="auto"/>
        <w:ind w:left="284" w:firstLine="567"/>
        <w:jc w:val="both"/>
        <w:rPr>
          <w:rFonts w:cstheme="minorHAnsi"/>
          <w:sz w:val="20"/>
          <w:szCs w:val="20"/>
        </w:rPr>
      </w:pPr>
      <w:r>
        <w:rPr>
          <w:rFonts w:cstheme="minorHAnsi"/>
          <w:sz w:val="20"/>
          <w:szCs w:val="20"/>
        </w:rPr>
        <w:t xml:space="preserve">Untuk meningkatkan pemberdayaan perempuan pada semua ini, perlu ada interaksi sosial antara masyarakat dengan elit politik, masyarakat dengan pemerintah atau dengan kelompok lainnya yang dianggap bisa mempengaruhi keputusan pemerintah, legislatif dan hukum.  Dalam hal ini </w:t>
      </w:r>
      <w:r>
        <w:rPr>
          <w:rFonts w:cstheme="minorHAnsi"/>
          <w:sz w:val="20"/>
          <w:szCs w:val="20"/>
        </w:rPr>
        <w:lastRenderedPageBreak/>
        <w:t>diperlukan keterlibatan perempuan dibidang politik untuk memperjuangkan hak dan kewajibannya.</w:t>
      </w:r>
    </w:p>
    <w:p>
      <w:pPr>
        <w:spacing w:line="360" w:lineRule="auto"/>
        <w:ind w:left="284" w:firstLine="567"/>
        <w:jc w:val="both"/>
        <w:rPr>
          <w:rFonts w:cstheme="minorHAnsi"/>
          <w:sz w:val="20"/>
          <w:szCs w:val="20"/>
        </w:rPr>
      </w:pPr>
      <w:r>
        <w:rPr>
          <w:rFonts w:cstheme="minorHAnsi"/>
          <w:sz w:val="20"/>
          <w:szCs w:val="20"/>
        </w:rPr>
        <w:t>Perempuan dapat berperan dan berpartisipasi dalam kegiatan politik, ekonomi, sosial budaya, pertahanan dan keamanan nasional. Namun, aktualisasinya dalam kehidupan sehari-hari masih ditemukan banyak kendala dan keraguan.  Fenomena ini terlihat tidak hanya dipusat tetapi juga di daerah.  Peran perempuan dalam berbagai sektor publik (kemasyarakatan) masih banyak terhambat oleh alasan budaya, tradisi dan tata nilai yang telah melembaga dimasyarakat.</w:t>
      </w:r>
      <w:bookmarkStart w:id="95" w:name="_Toc117550292"/>
    </w:p>
    <w:p>
      <w:pPr>
        <w:spacing w:line="360" w:lineRule="auto"/>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284" w:firstLine="567"/>
        <w:jc w:val="both"/>
        <w:rPr>
          <w:rFonts w:cstheme="minorHAnsi"/>
          <w:sz w:val="20"/>
          <w:szCs w:val="20"/>
        </w:rPr>
      </w:pPr>
    </w:p>
    <w:p>
      <w:pPr>
        <w:spacing w:line="360" w:lineRule="auto"/>
        <w:ind w:left="1418" w:hanging="1134"/>
        <w:jc w:val="both"/>
        <w:rPr>
          <w:b/>
          <w:i/>
          <w:color w:val="000000" w:themeColor="text1"/>
          <w:sz w:val="20"/>
          <w:szCs w:val="20"/>
          <w:lang w:val="en-US"/>
        </w:rPr>
      </w:pPr>
      <w:r>
        <w:rPr>
          <w:b/>
          <w:color w:val="000000" w:themeColor="text1"/>
          <w:sz w:val="20"/>
          <w:szCs w:val="20"/>
        </w:rPr>
        <w:t xml:space="preserve">Tabel 6. </w:t>
      </w:r>
      <w:r>
        <w:rPr>
          <w:b/>
          <w:i/>
          <w:color w:val="000000" w:themeColor="text1"/>
          <w:sz w:val="20"/>
          <w:szCs w:val="20"/>
        </w:rPr>
        <w:fldChar w:fldCharType="begin"/>
      </w:r>
      <w:r>
        <w:rPr>
          <w:b/>
          <w:color w:val="000000" w:themeColor="text1"/>
          <w:sz w:val="20"/>
          <w:szCs w:val="20"/>
        </w:rPr>
        <w:instrText xml:space="preserve"> SEQ Tabel_6. \* ARABIC </w:instrText>
      </w:r>
      <w:r>
        <w:rPr>
          <w:b/>
          <w:i/>
          <w:color w:val="000000" w:themeColor="text1"/>
          <w:sz w:val="20"/>
          <w:szCs w:val="20"/>
        </w:rPr>
        <w:fldChar w:fldCharType="separate"/>
      </w:r>
      <w:r>
        <w:rPr>
          <w:b/>
          <w:noProof/>
          <w:color w:val="000000" w:themeColor="text1"/>
          <w:sz w:val="20"/>
          <w:szCs w:val="20"/>
        </w:rPr>
        <w:t>1</w:t>
      </w:r>
      <w:r>
        <w:rPr>
          <w:b/>
          <w:i/>
          <w:color w:val="000000" w:themeColor="text1"/>
          <w:sz w:val="20"/>
          <w:szCs w:val="20"/>
        </w:rPr>
        <w:fldChar w:fldCharType="end"/>
      </w:r>
      <w:r>
        <w:rPr>
          <w:b/>
          <w:color w:val="000000" w:themeColor="text1"/>
          <w:sz w:val="20"/>
          <w:szCs w:val="20"/>
        </w:rPr>
        <w:tab/>
        <w:t>Jumlah Anggota DPRD Menurut Kabupaten/Kota dan Jenis Kelamin</w:t>
      </w:r>
      <w:r>
        <w:rPr>
          <w:b/>
          <w:color w:val="000000" w:themeColor="text1"/>
          <w:sz w:val="20"/>
          <w:szCs w:val="20"/>
          <w:lang w:val="en-US"/>
        </w:rPr>
        <w:t xml:space="preserve"> di Provinsi Kalimantan Tengah</w:t>
      </w:r>
      <w:r>
        <w:rPr>
          <w:b/>
          <w:color w:val="000000" w:themeColor="text1"/>
          <w:sz w:val="20"/>
          <w:szCs w:val="20"/>
        </w:rPr>
        <w:t>, 20</w:t>
      </w:r>
      <w:r>
        <w:rPr>
          <w:b/>
          <w:color w:val="000000" w:themeColor="text1"/>
          <w:sz w:val="20"/>
          <w:szCs w:val="20"/>
          <w:lang w:val="en-US"/>
        </w:rPr>
        <w:t>21</w:t>
      </w:r>
      <w:bookmarkEnd w:id="95"/>
    </w:p>
    <w:tbl>
      <w:tblPr>
        <w:tblpPr w:leftFromText="180" w:rightFromText="180" w:vertAnchor="text" w:tblpX="388" w:tblpY="1"/>
        <w:tblOverlap w:val="never"/>
        <w:tblW w:w="6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1"/>
        <w:gridCol w:w="1577"/>
        <w:gridCol w:w="1440"/>
        <w:gridCol w:w="1455"/>
      </w:tblGrid>
      <w:tr>
        <w:trPr>
          <w:trHeight w:val="397"/>
        </w:trPr>
        <w:tc>
          <w:tcPr>
            <w:tcW w:w="1701" w:type="dxa"/>
            <w:vMerge w:val="restart"/>
            <w:shd w:val="clear" w:color="auto" w:fill="38003D"/>
            <w:vAlign w:val="center"/>
            <w:hideMark/>
          </w:tcPr>
          <w:p>
            <w:pPr>
              <w:spacing w:after="0" w:line="240" w:lineRule="auto"/>
              <w:jc w:val="center"/>
              <w:rPr>
                <w:b/>
                <w:bCs/>
                <w:sz w:val="18"/>
                <w:szCs w:val="18"/>
              </w:rPr>
            </w:pPr>
            <w:r>
              <w:rPr>
                <w:b/>
                <w:bCs/>
                <w:sz w:val="18"/>
                <w:szCs w:val="18"/>
              </w:rPr>
              <w:t>Kabupaten/ Kota</w:t>
            </w:r>
          </w:p>
        </w:tc>
        <w:tc>
          <w:tcPr>
            <w:tcW w:w="3017" w:type="dxa"/>
            <w:gridSpan w:val="2"/>
            <w:shd w:val="clear" w:color="auto" w:fill="38003D"/>
            <w:vAlign w:val="center"/>
            <w:hideMark/>
          </w:tcPr>
          <w:p>
            <w:pPr>
              <w:spacing w:after="0" w:line="240" w:lineRule="auto"/>
              <w:jc w:val="center"/>
              <w:rPr>
                <w:b/>
                <w:bCs/>
                <w:sz w:val="18"/>
                <w:szCs w:val="18"/>
              </w:rPr>
            </w:pPr>
            <w:r>
              <w:rPr>
                <w:b/>
                <w:bCs/>
                <w:sz w:val="18"/>
                <w:szCs w:val="18"/>
              </w:rPr>
              <w:t>Jenis Kelamin</w:t>
            </w:r>
          </w:p>
        </w:tc>
        <w:tc>
          <w:tcPr>
            <w:tcW w:w="1455" w:type="dxa"/>
            <w:vMerge w:val="restart"/>
            <w:shd w:val="clear" w:color="auto" w:fill="38003D"/>
            <w:vAlign w:val="center"/>
          </w:tcPr>
          <w:p>
            <w:pPr>
              <w:spacing w:after="0" w:line="240" w:lineRule="auto"/>
              <w:jc w:val="center"/>
              <w:rPr>
                <w:b/>
                <w:bCs/>
                <w:sz w:val="18"/>
                <w:szCs w:val="18"/>
              </w:rPr>
            </w:pPr>
            <w:r>
              <w:rPr>
                <w:b/>
                <w:bCs/>
                <w:sz w:val="18"/>
                <w:szCs w:val="18"/>
              </w:rPr>
              <w:t>Total</w:t>
            </w:r>
          </w:p>
        </w:tc>
      </w:tr>
      <w:tr>
        <w:trPr>
          <w:trHeight w:val="397"/>
        </w:trPr>
        <w:tc>
          <w:tcPr>
            <w:tcW w:w="1701" w:type="dxa"/>
            <w:vMerge/>
            <w:shd w:val="clear" w:color="auto" w:fill="38003D"/>
            <w:vAlign w:val="center"/>
            <w:hideMark/>
          </w:tcPr>
          <w:p>
            <w:pPr>
              <w:spacing w:after="0" w:line="240" w:lineRule="auto"/>
              <w:rPr>
                <w:b/>
                <w:bCs/>
                <w:sz w:val="18"/>
                <w:szCs w:val="18"/>
              </w:rPr>
            </w:pPr>
          </w:p>
        </w:tc>
        <w:tc>
          <w:tcPr>
            <w:tcW w:w="1577" w:type="dxa"/>
            <w:shd w:val="clear" w:color="auto" w:fill="38003D"/>
            <w:vAlign w:val="center"/>
            <w:hideMark/>
          </w:tcPr>
          <w:p>
            <w:pPr>
              <w:spacing w:after="0" w:line="240" w:lineRule="auto"/>
              <w:jc w:val="center"/>
              <w:rPr>
                <w:b/>
                <w:bCs/>
                <w:sz w:val="18"/>
                <w:szCs w:val="18"/>
              </w:rPr>
            </w:pPr>
            <w:r>
              <w:rPr>
                <w:b/>
                <w:bCs/>
                <w:sz w:val="18"/>
                <w:szCs w:val="18"/>
              </w:rPr>
              <w:t>Laki-laki</w:t>
            </w:r>
          </w:p>
        </w:tc>
        <w:tc>
          <w:tcPr>
            <w:tcW w:w="1440" w:type="dxa"/>
            <w:shd w:val="clear" w:color="auto" w:fill="38003D"/>
            <w:vAlign w:val="center"/>
            <w:hideMark/>
          </w:tcPr>
          <w:p>
            <w:pPr>
              <w:spacing w:after="0" w:line="240" w:lineRule="auto"/>
              <w:jc w:val="center"/>
              <w:rPr>
                <w:b/>
                <w:bCs/>
                <w:sz w:val="18"/>
                <w:szCs w:val="18"/>
              </w:rPr>
            </w:pPr>
            <w:r>
              <w:rPr>
                <w:b/>
                <w:bCs/>
                <w:sz w:val="18"/>
                <w:szCs w:val="18"/>
              </w:rPr>
              <w:t>Perempuan</w:t>
            </w:r>
          </w:p>
        </w:tc>
        <w:tc>
          <w:tcPr>
            <w:tcW w:w="1455" w:type="dxa"/>
            <w:vMerge/>
            <w:shd w:val="clear" w:color="auto" w:fill="38003D"/>
            <w:vAlign w:val="center"/>
            <w:hideMark/>
          </w:tcPr>
          <w:p>
            <w:pPr>
              <w:spacing w:after="0" w:line="240" w:lineRule="auto"/>
              <w:rPr>
                <w:b/>
                <w:bCs/>
                <w:sz w:val="18"/>
                <w:szCs w:val="18"/>
              </w:rPr>
            </w:pPr>
          </w:p>
        </w:tc>
      </w:tr>
      <w:tr>
        <w:trPr>
          <w:trHeight w:val="221"/>
        </w:trPr>
        <w:tc>
          <w:tcPr>
            <w:tcW w:w="1701" w:type="dxa"/>
            <w:shd w:val="clear" w:color="auto" w:fill="38003D"/>
            <w:vAlign w:val="center"/>
            <w:hideMark/>
          </w:tcPr>
          <w:p>
            <w:pPr>
              <w:spacing w:after="0" w:line="240" w:lineRule="auto"/>
              <w:jc w:val="center"/>
              <w:rPr>
                <w:bCs/>
                <w:sz w:val="18"/>
                <w:szCs w:val="18"/>
              </w:rPr>
            </w:pPr>
            <w:r>
              <w:rPr>
                <w:bCs/>
                <w:sz w:val="18"/>
                <w:szCs w:val="18"/>
              </w:rPr>
              <w:t>(1)</w:t>
            </w:r>
          </w:p>
        </w:tc>
        <w:tc>
          <w:tcPr>
            <w:tcW w:w="1577" w:type="dxa"/>
            <w:shd w:val="clear" w:color="auto" w:fill="38003D"/>
            <w:vAlign w:val="center"/>
            <w:hideMark/>
          </w:tcPr>
          <w:p>
            <w:pPr>
              <w:spacing w:after="0" w:line="240" w:lineRule="auto"/>
              <w:jc w:val="center"/>
              <w:rPr>
                <w:bCs/>
                <w:sz w:val="18"/>
                <w:szCs w:val="18"/>
              </w:rPr>
            </w:pPr>
            <w:r>
              <w:rPr>
                <w:bCs/>
                <w:sz w:val="18"/>
                <w:szCs w:val="18"/>
              </w:rPr>
              <w:t>(2)</w:t>
            </w:r>
          </w:p>
        </w:tc>
        <w:tc>
          <w:tcPr>
            <w:tcW w:w="1440" w:type="dxa"/>
            <w:shd w:val="clear" w:color="auto" w:fill="38003D"/>
            <w:vAlign w:val="center"/>
            <w:hideMark/>
          </w:tcPr>
          <w:p>
            <w:pPr>
              <w:spacing w:after="0" w:line="240" w:lineRule="auto"/>
              <w:jc w:val="center"/>
              <w:rPr>
                <w:bCs/>
                <w:sz w:val="18"/>
                <w:szCs w:val="18"/>
              </w:rPr>
            </w:pPr>
            <w:r>
              <w:rPr>
                <w:bCs/>
                <w:sz w:val="18"/>
                <w:szCs w:val="18"/>
              </w:rPr>
              <w:t>(3)</w:t>
            </w:r>
          </w:p>
        </w:tc>
        <w:tc>
          <w:tcPr>
            <w:tcW w:w="1455" w:type="dxa"/>
            <w:shd w:val="clear" w:color="auto" w:fill="38003D"/>
            <w:vAlign w:val="center"/>
          </w:tcPr>
          <w:p>
            <w:pPr>
              <w:spacing w:after="0" w:line="240" w:lineRule="auto"/>
              <w:jc w:val="center"/>
              <w:rPr>
                <w:bCs/>
                <w:sz w:val="18"/>
                <w:szCs w:val="18"/>
              </w:rPr>
            </w:pPr>
            <w:r>
              <w:rPr>
                <w:bCs/>
                <w:sz w:val="18"/>
                <w:szCs w:val="18"/>
              </w:rPr>
              <w:t>(4)</w:t>
            </w:r>
          </w:p>
        </w:tc>
      </w:tr>
      <w:tr>
        <w:trPr>
          <w:trHeight w:val="340"/>
        </w:trPr>
        <w:tc>
          <w:tcPr>
            <w:tcW w:w="1701" w:type="dxa"/>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Kotawaringin Barat</w:t>
            </w:r>
          </w:p>
        </w:tc>
        <w:tc>
          <w:tcPr>
            <w:tcW w:w="1577"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25</w:t>
            </w:r>
          </w:p>
        </w:tc>
        <w:tc>
          <w:tcPr>
            <w:tcW w:w="1440"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5</w:t>
            </w:r>
          </w:p>
        </w:tc>
        <w:tc>
          <w:tcPr>
            <w:tcW w:w="1455" w:type="dxa"/>
            <w:shd w:val="clear" w:color="auto" w:fill="E5DFEC" w:themeFill="accent4" w:themeFillTint="33"/>
            <w:noWrap/>
            <w:vAlign w:val="center"/>
          </w:tcPr>
          <w:p>
            <w:pPr>
              <w:spacing w:after="0" w:line="240" w:lineRule="auto"/>
              <w:jc w:val="center"/>
              <w:rPr>
                <w:rFonts w:cstheme="minorHAnsi"/>
                <w:sz w:val="18"/>
                <w:szCs w:val="18"/>
              </w:rPr>
            </w:pPr>
            <w:r>
              <w:rPr>
                <w:rFonts w:cstheme="minorHAnsi"/>
                <w:sz w:val="18"/>
                <w:szCs w:val="18"/>
              </w:rPr>
              <w:t>30</w:t>
            </w:r>
          </w:p>
        </w:tc>
      </w:tr>
      <w:tr>
        <w:trPr>
          <w:trHeight w:val="340"/>
        </w:trPr>
        <w:tc>
          <w:tcPr>
            <w:tcW w:w="1701" w:type="dxa"/>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Kotawaringin Timur</w:t>
            </w:r>
          </w:p>
        </w:tc>
        <w:tc>
          <w:tcPr>
            <w:tcW w:w="1577"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31</w:t>
            </w:r>
          </w:p>
        </w:tc>
        <w:tc>
          <w:tcPr>
            <w:tcW w:w="1440"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8</w:t>
            </w:r>
          </w:p>
        </w:tc>
        <w:tc>
          <w:tcPr>
            <w:tcW w:w="1455" w:type="dxa"/>
            <w:shd w:val="clear" w:color="auto" w:fill="EAF1DD" w:themeFill="accent3" w:themeFillTint="33"/>
            <w:noWrap/>
            <w:vAlign w:val="center"/>
          </w:tcPr>
          <w:p>
            <w:pPr>
              <w:spacing w:after="0" w:line="240" w:lineRule="auto"/>
              <w:jc w:val="center"/>
              <w:rPr>
                <w:rFonts w:cstheme="minorHAnsi"/>
                <w:sz w:val="18"/>
                <w:szCs w:val="18"/>
              </w:rPr>
            </w:pPr>
            <w:r>
              <w:rPr>
                <w:rFonts w:cstheme="minorHAnsi"/>
                <w:sz w:val="18"/>
                <w:szCs w:val="18"/>
              </w:rPr>
              <w:t>39</w:t>
            </w:r>
          </w:p>
        </w:tc>
      </w:tr>
      <w:tr>
        <w:trPr>
          <w:trHeight w:val="340"/>
        </w:trPr>
        <w:tc>
          <w:tcPr>
            <w:tcW w:w="1701" w:type="dxa"/>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Kapuas</w:t>
            </w:r>
          </w:p>
        </w:tc>
        <w:tc>
          <w:tcPr>
            <w:tcW w:w="1577"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29</w:t>
            </w:r>
          </w:p>
        </w:tc>
        <w:tc>
          <w:tcPr>
            <w:tcW w:w="1440"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11</w:t>
            </w:r>
          </w:p>
        </w:tc>
        <w:tc>
          <w:tcPr>
            <w:tcW w:w="1455" w:type="dxa"/>
            <w:shd w:val="clear" w:color="auto" w:fill="E5DFEC" w:themeFill="accent4" w:themeFillTint="33"/>
            <w:noWrap/>
            <w:vAlign w:val="center"/>
          </w:tcPr>
          <w:p>
            <w:pPr>
              <w:spacing w:after="0" w:line="240" w:lineRule="auto"/>
              <w:jc w:val="center"/>
              <w:rPr>
                <w:rFonts w:cstheme="minorHAnsi"/>
                <w:sz w:val="18"/>
                <w:szCs w:val="18"/>
              </w:rPr>
            </w:pPr>
            <w:r>
              <w:rPr>
                <w:rFonts w:cstheme="minorHAnsi"/>
                <w:sz w:val="18"/>
                <w:szCs w:val="18"/>
              </w:rPr>
              <w:t>40</w:t>
            </w:r>
          </w:p>
        </w:tc>
      </w:tr>
      <w:tr>
        <w:trPr>
          <w:trHeight w:val="340"/>
        </w:trPr>
        <w:tc>
          <w:tcPr>
            <w:tcW w:w="1701" w:type="dxa"/>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Barito Selatan</w:t>
            </w:r>
          </w:p>
        </w:tc>
        <w:tc>
          <w:tcPr>
            <w:tcW w:w="1577"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15</w:t>
            </w:r>
          </w:p>
        </w:tc>
        <w:tc>
          <w:tcPr>
            <w:tcW w:w="1440"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10</w:t>
            </w:r>
          </w:p>
        </w:tc>
        <w:tc>
          <w:tcPr>
            <w:tcW w:w="1455" w:type="dxa"/>
            <w:shd w:val="clear" w:color="auto" w:fill="EAF1DD" w:themeFill="accent3" w:themeFillTint="33"/>
            <w:noWrap/>
            <w:vAlign w:val="center"/>
          </w:tcPr>
          <w:p>
            <w:pPr>
              <w:spacing w:after="0" w:line="240" w:lineRule="auto"/>
              <w:jc w:val="center"/>
              <w:rPr>
                <w:rFonts w:cstheme="minorHAnsi"/>
                <w:sz w:val="18"/>
                <w:szCs w:val="18"/>
              </w:rPr>
            </w:pPr>
            <w:r>
              <w:rPr>
                <w:rFonts w:cstheme="minorHAnsi"/>
                <w:sz w:val="18"/>
                <w:szCs w:val="18"/>
              </w:rPr>
              <w:t>25</w:t>
            </w:r>
          </w:p>
        </w:tc>
      </w:tr>
      <w:tr>
        <w:trPr>
          <w:trHeight w:val="340"/>
        </w:trPr>
        <w:tc>
          <w:tcPr>
            <w:tcW w:w="1701" w:type="dxa"/>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Barito Utara</w:t>
            </w:r>
          </w:p>
        </w:tc>
        <w:tc>
          <w:tcPr>
            <w:tcW w:w="1577"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17</w:t>
            </w:r>
          </w:p>
        </w:tc>
        <w:tc>
          <w:tcPr>
            <w:tcW w:w="1440"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8</w:t>
            </w:r>
          </w:p>
        </w:tc>
        <w:tc>
          <w:tcPr>
            <w:tcW w:w="1455" w:type="dxa"/>
            <w:shd w:val="clear" w:color="auto" w:fill="E5DFEC" w:themeFill="accent4" w:themeFillTint="33"/>
            <w:noWrap/>
            <w:vAlign w:val="center"/>
          </w:tcPr>
          <w:p>
            <w:pPr>
              <w:spacing w:after="0" w:line="240" w:lineRule="auto"/>
              <w:jc w:val="center"/>
              <w:rPr>
                <w:rFonts w:cstheme="minorHAnsi"/>
                <w:sz w:val="18"/>
                <w:szCs w:val="18"/>
              </w:rPr>
            </w:pPr>
            <w:r>
              <w:rPr>
                <w:rFonts w:cstheme="minorHAnsi"/>
                <w:sz w:val="18"/>
                <w:szCs w:val="18"/>
              </w:rPr>
              <w:t>25</w:t>
            </w:r>
          </w:p>
        </w:tc>
      </w:tr>
      <w:tr>
        <w:trPr>
          <w:trHeight w:val="340"/>
        </w:trPr>
        <w:tc>
          <w:tcPr>
            <w:tcW w:w="1701" w:type="dxa"/>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Sukamara</w:t>
            </w:r>
          </w:p>
        </w:tc>
        <w:tc>
          <w:tcPr>
            <w:tcW w:w="1577"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15</w:t>
            </w:r>
          </w:p>
        </w:tc>
        <w:tc>
          <w:tcPr>
            <w:tcW w:w="1440"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5</w:t>
            </w:r>
          </w:p>
        </w:tc>
        <w:tc>
          <w:tcPr>
            <w:tcW w:w="1455" w:type="dxa"/>
            <w:shd w:val="clear" w:color="auto" w:fill="EAF1DD" w:themeFill="accent3" w:themeFillTint="33"/>
            <w:noWrap/>
            <w:vAlign w:val="center"/>
          </w:tcPr>
          <w:p>
            <w:pPr>
              <w:spacing w:after="0" w:line="240" w:lineRule="auto"/>
              <w:jc w:val="center"/>
              <w:rPr>
                <w:rFonts w:cstheme="minorHAnsi"/>
                <w:sz w:val="18"/>
                <w:szCs w:val="18"/>
              </w:rPr>
            </w:pPr>
            <w:r>
              <w:rPr>
                <w:rFonts w:cstheme="minorHAnsi"/>
                <w:sz w:val="18"/>
                <w:szCs w:val="18"/>
              </w:rPr>
              <w:t>20</w:t>
            </w:r>
          </w:p>
        </w:tc>
      </w:tr>
      <w:tr>
        <w:trPr>
          <w:trHeight w:val="340"/>
        </w:trPr>
        <w:tc>
          <w:tcPr>
            <w:tcW w:w="1701" w:type="dxa"/>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Lamandau</w:t>
            </w:r>
          </w:p>
        </w:tc>
        <w:tc>
          <w:tcPr>
            <w:tcW w:w="1577"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16</w:t>
            </w:r>
          </w:p>
        </w:tc>
        <w:tc>
          <w:tcPr>
            <w:tcW w:w="1440"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4</w:t>
            </w:r>
          </w:p>
        </w:tc>
        <w:tc>
          <w:tcPr>
            <w:tcW w:w="1455" w:type="dxa"/>
            <w:shd w:val="clear" w:color="auto" w:fill="E5DFEC" w:themeFill="accent4" w:themeFillTint="33"/>
            <w:noWrap/>
            <w:vAlign w:val="center"/>
          </w:tcPr>
          <w:p>
            <w:pPr>
              <w:spacing w:after="0" w:line="240" w:lineRule="auto"/>
              <w:jc w:val="center"/>
              <w:rPr>
                <w:rFonts w:cstheme="minorHAnsi"/>
                <w:sz w:val="18"/>
                <w:szCs w:val="18"/>
              </w:rPr>
            </w:pPr>
            <w:r>
              <w:rPr>
                <w:rFonts w:cstheme="minorHAnsi"/>
                <w:sz w:val="18"/>
                <w:szCs w:val="18"/>
              </w:rPr>
              <w:t>20</w:t>
            </w:r>
          </w:p>
        </w:tc>
      </w:tr>
      <w:tr>
        <w:trPr>
          <w:trHeight w:val="340"/>
        </w:trPr>
        <w:tc>
          <w:tcPr>
            <w:tcW w:w="1701" w:type="dxa"/>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Seruyan</w:t>
            </w:r>
          </w:p>
        </w:tc>
        <w:tc>
          <w:tcPr>
            <w:tcW w:w="1577"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22</w:t>
            </w:r>
          </w:p>
        </w:tc>
        <w:tc>
          <w:tcPr>
            <w:tcW w:w="1440"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3</w:t>
            </w:r>
          </w:p>
        </w:tc>
        <w:tc>
          <w:tcPr>
            <w:tcW w:w="1455" w:type="dxa"/>
            <w:shd w:val="clear" w:color="auto" w:fill="EAF1DD" w:themeFill="accent3" w:themeFillTint="33"/>
            <w:noWrap/>
            <w:vAlign w:val="center"/>
          </w:tcPr>
          <w:p>
            <w:pPr>
              <w:spacing w:after="0" w:line="240" w:lineRule="auto"/>
              <w:jc w:val="center"/>
              <w:rPr>
                <w:rFonts w:cstheme="minorHAnsi"/>
                <w:sz w:val="18"/>
                <w:szCs w:val="18"/>
              </w:rPr>
            </w:pPr>
            <w:r>
              <w:rPr>
                <w:rFonts w:cstheme="minorHAnsi"/>
                <w:sz w:val="18"/>
                <w:szCs w:val="18"/>
              </w:rPr>
              <w:t>25</w:t>
            </w:r>
          </w:p>
        </w:tc>
      </w:tr>
      <w:tr>
        <w:trPr>
          <w:trHeight w:val="340"/>
        </w:trPr>
        <w:tc>
          <w:tcPr>
            <w:tcW w:w="1701" w:type="dxa"/>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Katingan</w:t>
            </w:r>
          </w:p>
        </w:tc>
        <w:tc>
          <w:tcPr>
            <w:tcW w:w="1577"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21</w:t>
            </w:r>
          </w:p>
        </w:tc>
        <w:tc>
          <w:tcPr>
            <w:tcW w:w="1440"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4</w:t>
            </w:r>
          </w:p>
        </w:tc>
        <w:tc>
          <w:tcPr>
            <w:tcW w:w="1455" w:type="dxa"/>
            <w:shd w:val="clear" w:color="auto" w:fill="E5DFEC" w:themeFill="accent4" w:themeFillTint="33"/>
            <w:noWrap/>
            <w:vAlign w:val="center"/>
          </w:tcPr>
          <w:p>
            <w:pPr>
              <w:spacing w:after="0" w:line="240" w:lineRule="auto"/>
              <w:jc w:val="center"/>
              <w:rPr>
                <w:rFonts w:cstheme="minorHAnsi"/>
                <w:sz w:val="18"/>
                <w:szCs w:val="18"/>
              </w:rPr>
            </w:pPr>
            <w:r>
              <w:rPr>
                <w:rFonts w:cstheme="minorHAnsi"/>
                <w:sz w:val="18"/>
                <w:szCs w:val="18"/>
              </w:rPr>
              <w:t>25</w:t>
            </w:r>
          </w:p>
        </w:tc>
      </w:tr>
      <w:tr>
        <w:trPr>
          <w:trHeight w:val="340"/>
        </w:trPr>
        <w:tc>
          <w:tcPr>
            <w:tcW w:w="1701" w:type="dxa"/>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Pulang Pisau</w:t>
            </w:r>
          </w:p>
        </w:tc>
        <w:tc>
          <w:tcPr>
            <w:tcW w:w="1577"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18</w:t>
            </w:r>
          </w:p>
        </w:tc>
        <w:tc>
          <w:tcPr>
            <w:tcW w:w="1440"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w:t>
            </w:r>
          </w:p>
        </w:tc>
        <w:tc>
          <w:tcPr>
            <w:tcW w:w="1455" w:type="dxa"/>
            <w:shd w:val="clear" w:color="auto" w:fill="EAF1DD" w:themeFill="accent3" w:themeFillTint="33"/>
            <w:noWrap/>
            <w:vAlign w:val="center"/>
          </w:tcPr>
          <w:p>
            <w:pPr>
              <w:spacing w:after="0" w:line="240" w:lineRule="auto"/>
              <w:jc w:val="center"/>
              <w:rPr>
                <w:rFonts w:cstheme="minorHAnsi"/>
                <w:sz w:val="18"/>
                <w:szCs w:val="18"/>
              </w:rPr>
            </w:pPr>
            <w:r>
              <w:rPr>
                <w:rFonts w:cstheme="minorHAnsi"/>
                <w:sz w:val="18"/>
                <w:szCs w:val="18"/>
              </w:rPr>
              <w:t>25</w:t>
            </w:r>
          </w:p>
        </w:tc>
      </w:tr>
      <w:tr>
        <w:trPr>
          <w:trHeight w:val="340"/>
        </w:trPr>
        <w:tc>
          <w:tcPr>
            <w:tcW w:w="1701" w:type="dxa"/>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Gunung Mas</w:t>
            </w:r>
          </w:p>
        </w:tc>
        <w:tc>
          <w:tcPr>
            <w:tcW w:w="1577"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13</w:t>
            </w:r>
          </w:p>
        </w:tc>
        <w:tc>
          <w:tcPr>
            <w:tcW w:w="1440"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12</w:t>
            </w:r>
          </w:p>
        </w:tc>
        <w:tc>
          <w:tcPr>
            <w:tcW w:w="1455" w:type="dxa"/>
            <w:shd w:val="clear" w:color="auto" w:fill="E5DFEC" w:themeFill="accent4" w:themeFillTint="33"/>
            <w:noWrap/>
            <w:vAlign w:val="center"/>
          </w:tcPr>
          <w:p>
            <w:pPr>
              <w:spacing w:after="0" w:line="240" w:lineRule="auto"/>
              <w:jc w:val="center"/>
              <w:rPr>
                <w:rFonts w:cstheme="minorHAnsi"/>
                <w:sz w:val="18"/>
                <w:szCs w:val="18"/>
              </w:rPr>
            </w:pPr>
            <w:r>
              <w:rPr>
                <w:rFonts w:cstheme="minorHAnsi"/>
                <w:sz w:val="18"/>
                <w:szCs w:val="18"/>
              </w:rPr>
              <w:t>25</w:t>
            </w:r>
          </w:p>
        </w:tc>
      </w:tr>
      <w:tr>
        <w:trPr>
          <w:trHeight w:val="340"/>
        </w:trPr>
        <w:tc>
          <w:tcPr>
            <w:tcW w:w="1701" w:type="dxa"/>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Barito Timur</w:t>
            </w:r>
          </w:p>
        </w:tc>
        <w:tc>
          <w:tcPr>
            <w:tcW w:w="1577"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18</w:t>
            </w:r>
          </w:p>
        </w:tc>
        <w:tc>
          <w:tcPr>
            <w:tcW w:w="1440"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7</w:t>
            </w:r>
          </w:p>
        </w:tc>
        <w:tc>
          <w:tcPr>
            <w:tcW w:w="1455" w:type="dxa"/>
            <w:shd w:val="clear" w:color="auto" w:fill="EAF1DD" w:themeFill="accent3" w:themeFillTint="33"/>
            <w:noWrap/>
            <w:vAlign w:val="center"/>
          </w:tcPr>
          <w:p>
            <w:pPr>
              <w:spacing w:after="0" w:line="240" w:lineRule="auto"/>
              <w:jc w:val="center"/>
              <w:rPr>
                <w:rFonts w:cstheme="minorHAnsi"/>
                <w:sz w:val="18"/>
                <w:szCs w:val="18"/>
              </w:rPr>
            </w:pPr>
            <w:r>
              <w:rPr>
                <w:rFonts w:cstheme="minorHAnsi"/>
                <w:sz w:val="18"/>
                <w:szCs w:val="18"/>
              </w:rPr>
              <w:t>25</w:t>
            </w:r>
          </w:p>
        </w:tc>
      </w:tr>
      <w:tr>
        <w:trPr>
          <w:trHeight w:val="340"/>
        </w:trPr>
        <w:tc>
          <w:tcPr>
            <w:tcW w:w="1701" w:type="dxa"/>
            <w:shd w:val="clear" w:color="auto" w:fill="E5DFEC" w:themeFill="accent4" w:themeFillTint="33"/>
            <w:vAlign w:val="center"/>
            <w:hideMark/>
          </w:tcPr>
          <w:p>
            <w:pPr>
              <w:spacing w:after="0" w:line="240" w:lineRule="auto"/>
              <w:rPr>
                <w:rFonts w:cstheme="minorHAnsi"/>
                <w:sz w:val="18"/>
                <w:szCs w:val="18"/>
              </w:rPr>
            </w:pPr>
            <w:r>
              <w:rPr>
                <w:rFonts w:cstheme="minorHAnsi"/>
                <w:sz w:val="18"/>
                <w:szCs w:val="18"/>
              </w:rPr>
              <w:t>Murung Raya</w:t>
            </w:r>
          </w:p>
        </w:tc>
        <w:tc>
          <w:tcPr>
            <w:tcW w:w="1577"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21</w:t>
            </w:r>
          </w:p>
        </w:tc>
        <w:tc>
          <w:tcPr>
            <w:tcW w:w="1440" w:type="dxa"/>
            <w:shd w:val="clear" w:color="auto" w:fill="E5DFEC" w:themeFill="accent4" w:themeFillTint="33"/>
            <w:vAlign w:val="center"/>
          </w:tcPr>
          <w:p>
            <w:pPr>
              <w:spacing w:after="0" w:line="240" w:lineRule="auto"/>
              <w:jc w:val="center"/>
              <w:rPr>
                <w:rFonts w:cstheme="minorHAnsi"/>
                <w:sz w:val="18"/>
                <w:szCs w:val="18"/>
              </w:rPr>
            </w:pPr>
            <w:r>
              <w:rPr>
                <w:rFonts w:cstheme="minorHAnsi"/>
                <w:sz w:val="18"/>
                <w:szCs w:val="18"/>
              </w:rPr>
              <w:t>4</w:t>
            </w:r>
          </w:p>
        </w:tc>
        <w:tc>
          <w:tcPr>
            <w:tcW w:w="1455" w:type="dxa"/>
            <w:shd w:val="clear" w:color="auto" w:fill="E5DFEC" w:themeFill="accent4" w:themeFillTint="33"/>
            <w:noWrap/>
            <w:vAlign w:val="center"/>
          </w:tcPr>
          <w:p>
            <w:pPr>
              <w:spacing w:after="0" w:line="240" w:lineRule="auto"/>
              <w:jc w:val="center"/>
              <w:rPr>
                <w:rFonts w:cstheme="minorHAnsi"/>
                <w:sz w:val="18"/>
                <w:szCs w:val="18"/>
              </w:rPr>
            </w:pPr>
            <w:r>
              <w:rPr>
                <w:rFonts w:cstheme="minorHAnsi"/>
                <w:sz w:val="18"/>
                <w:szCs w:val="18"/>
              </w:rPr>
              <w:t>25</w:t>
            </w:r>
          </w:p>
        </w:tc>
      </w:tr>
      <w:tr>
        <w:trPr>
          <w:trHeight w:val="340"/>
        </w:trPr>
        <w:tc>
          <w:tcPr>
            <w:tcW w:w="1701" w:type="dxa"/>
            <w:shd w:val="clear" w:color="auto" w:fill="EAF1DD" w:themeFill="accent3" w:themeFillTint="33"/>
            <w:vAlign w:val="center"/>
            <w:hideMark/>
          </w:tcPr>
          <w:p>
            <w:pPr>
              <w:spacing w:after="0" w:line="240" w:lineRule="auto"/>
              <w:rPr>
                <w:rFonts w:cstheme="minorHAnsi"/>
                <w:sz w:val="18"/>
                <w:szCs w:val="18"/>
              </w:rPr>
            </w:pPr>
            <w:r>
              <w:rPr>
                <w:rFonts w:cstheme="minorHAnsi"/>
                <w:sz w:val="18"/>
                <w:szCs w:val="18"/>
              </w:rPr>
              <w:t>Palangka Raya</w:t>
            </w:r>
          </w:p>
        </w:tc>
        <w:tc>
          <w:tcPr>
            <w:tcW w:w="1577"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21</w:t>
            </w:r>
          </w:p>
        </w:tc>
        <w:tc>
          <w:tcPr>
            <w:tcW w:w="1440" w:type="dxa"/>
            <w:shd w:val="clear" w:color="auto" w:fill="EAF1DD" w:themeFill="accent3" w:themeFillTint="33"/>
            <w:vAlign w:val="center"/>
          </w:tcPr>
          <w:p>
            <w:pPr>
              <w:spacing w:after="0" w:line="240" w:lineRule="auto"/>
              <w:jc w:val="center"/>
              <w:rPr>
                <w:rFonts w:cstheme="minorHAnsi"/>
                <w:sz w:val="18"/>
                <w:szCs w:val="18"/>
              </w:rPr>
            </w:pPr>
            <w:r>
              <w:rPr>
                <w:rFonts w:cstheme="minorHAnsi"/>
                <w:sz w:val="18"/>
                <w:szCs w:val="18"/>
              </w:rPr>
              <w:t>9</w:t>
            </w:r>
          </w:p>
        </w:tc>
        <w:tc>
          <w:tcPr>
            <w:tcW w:w="1455" w:type="dxa"/>
            <w:shd w:val="clear" w:color="auto" w:fill="EAF1DD" w:themeFill="accent3" w:themeFillTint="33"/>
            <w:noWrap/>
            <w:vAlign w:val="center"/>
          </w:tcPr>
          <w:p>
            <w:pPr>
              <w:spacing w:after="0" w:line="240" w:lineRule="auto"/>
              <w:jc w:val="center"/>
              <w:rPr>
                <w:rFonts w:cstheme="minorHAnsi"/>
                <w:sz w:val="18"/>
                <w:szCs w:val="18"/>
              </w:rPr>
            </w:pPr>
            <w:r>
              <w:rPr>
                <w:rFonts w:cstheme="minorHAnsi"/>
                <w:sz w:val="18"/>
                <w:szCs w:val="18"/>
              </w:rPr>
              <w:t>30</w:t>
            </w:r>
          </w:p>
        </w:tc>
      </w:tr>
      <w:tr>
        <w:trPr>
          <w:trHeight w:val="340"/>
        </w:trPr>
        <w:tc>
          <w:tcPr>
            <w:tcW w:w="1701" w:type="dxa"/>
            <w:shd w:val="clear" w:color="auto" w:fill="E5DFEC" w:themeFill="accent4" w:themeFillTint="33"/>
            <w:vAlign w:val="center"/>
          </w:tcPr>
          <w:p>
            <w:pPr>
              <w:spacing w:after="0" w:line="240" w:lineRule="auto"/>
              <w:rPr>
                <w:rFonts w:cstheme="minorHAnsi"/>
                <w:b/>
                <w:sz w:val="18"/>
                <w:szCs w:val="18"/>
              </w:rPr>
            </w:pPr>
            <w:r>
              <w:rPr>
                <w:rFonts w:cstheme="minorHAnsi"/>
                <w:b/>
                <w:sz w:val="18"/>
                <w:szCs w:val="18"/>
              </w:rPr>
              <w:t>Provinsi</w:t>
            </w:r>
          </w:p>
        </w:tc>
        <w:tc>
          <w:tcPr>
            <w:tcW w:w="1577" w:type="dxa"/>
            <w:shd w:val="clear" w:color="auto" w:fill="E5DFEC" w:themeFill="accent4" w:themeFillTint="33"/>
            <w:vAlign w:val="center"/>
          </w:tcPr>
          <w:p>
            <w:pPr>
              <w:spacing w:after="0" w:line="240" w:lineRule="auto"/>
              <w:jc w:val="center"/>
              <w:rPr>
                <w:rFonts w:cstheme="minorHAnsi"/>
                <w:b/>
                <w:sz w:val="18"/>
                <w:szCs w:val="18"/>
              </w:rPr>
            </w:pPr>
            <w:r>
              <w:rPr>
                <w:rFonts w:cstheme="minorHAnsi"/>
                <w:b/>
                <w:sz w:val="18"/>
                <w:szCs w:val="18"/>
              </w:rPr>
              <w:t>30</w:t>
            </w:r>
          </w:p>
        </w:tc>
        <w:tc>
          <w:tcPr>
            <w:tcW w:w="1440" w:type="dxa"/>
            <w:shd w:val="clear" w:color="auto" w:fill="E5DFEC" w:themeFill="accent4" w:themeFillTint="33"/>
            <w:vAlign w:val="center"/>
          </w:tcPr>
          <w:p>
            <w:pPr>
              <w:spacing w:after="0" w:line="240" w:lineRule="auto"/>
              <w:jc w:val="center"/>
              <w:rPr>
                <w:rFonts w:cstheme="minorHAnsi"/>
                <w:b/>
                <w:sz w:val="18"/>
                <w:szCs w:val="18"/>
              </w:rPr>
            </w:pPr>
            <w:r>
              <w:rPr>
                <w:rFonts w:cstheme="minorHAnsi"/>
                <w:b/>
                <w:sz w:val="18"/>
                <w:szCs w:val="18"/>
              </w:rPr>
              <w:t>15</w:t>
            </w:r>
          </w:p>
        </w:tc>
        <w:tc>
          <w:tcPr>
            <w:tcW w:w="1455" w:type="dxa"/>
            <w:shd w:val="clear" w:color="auto" w:fill="E5DFEC" w:themeFill="accent4" w:themeFillTint="33"/>
            <w:noWrap/>
            <w:vAlign w:val="center"/>
          </w:tcPr>
          <w:p>
            <w:pPr>
              <w:spacing w:after="0" w:line="240" w:lineRule="auto"/>
              <w:jc w:val="center"/>
              <w:rPr>
                <w:rFonts w:cstheme="minorHAnsi"/>
                <w:b/>
                <w:sz w:val="18"/>
                <w:szCs w:val="18"/>
              </w:rPr>
            </w:pPr>
            <w:r>
              <w:rPr>
                <w:rFonts w:cstheme="minorHAnsi"/>
                <w:b/>
                <w:sz w:val="18"/>
                <w:szCs w:val="18"/>
              </w:rPr>
              <w:t>45</w:t>
            </w:r>
          </w:p>
        </w:tc>
      </w:tr>
    </w:tbl>
    <w:p>
      <w:pPr>
        <w:ind w:firstLine="284"/>
        <w:jc w:val="both"/>
        <w:rPr>
          <w:lang w:val="en-US"/>
        </w:rPr>
      </w:pPr>
      <w:r>
        <w:rPr>
          <w:i/>
          <w:sz w:val="18"/>
          <w:szCs w:val="18"/>
        </w:rPr>
        <w:t>Sumber: Sekretariat DPRD</w:t>
      </w:r>
    </w:p>
    <w:p>
      <w:pPr>
        <w:pStyle w:val="BodyText"/>
        <w:spacing w:line="360" w:lineRule="auto"/>
        <w:ind w:left="284" w:firstLine="567"/>
        <w:jc w:val="both"/>
        <w:rPr>
          <w:rFonts w:asciiTheme="minorHAnsi" w:hAnsiTheme="minorHAnsi"/>
        </w:rPr>
      </w:pPr>
      <w:r>
        <w:rPr>
          <w:rFonts w:asciiTheme="minorHAnsi" w:hAnsiTheme="minorHAnsi" w:cs="Arial"/>
        </w:rPr>
        <w:t xml:space="preserve">Upaya </w:t>
      </w:r>
      <w:r>
        <w:rPr>
          <w:rFonts w:asciiTheme="minorHAnsi" w:hAnsiTheme="minorHAnsi" w:cs="Arial"/>
          <w:i/>
          <w:iCs/>
        </w:rPr>
        <w:t xml:space="preserve">affirmative action </w:t>
      </w:r>
      <w:r>
        <w:rPr>
          <w:rFonts w:asciiTheme="minorHAnsi" w:hAnsiTheme="minorHAnsi" w:cs="Arial"/>
        </w:rPr>
        <w:t xml:space="preserve">untuk mendorong keterwakilan perempuan dalam politik terus disuarakan, seperti pada pelaksanaan pemilu 2009, </w:t>
      </w:r>
      <w:r>
        <w:rPr>
          <w:rFonts w:asciiTheme="minorHAnsi" w:hAnsiTheme="minorHAnsi" w:cs="Arial"/>
        </w:rPr>
        <w:lastRenderedPageBreak/>
        <w:t>peraturan perundang-undangan telah mengatur kuota 30 persen perempuan bagi partai politik (parpol) dalam menempatkan calon anggota legislatifnya. Undang-Undang (UU) Nomor 10/2008 tentang Pemilu Umum Anggota Dewan Perwakilan Rakyat, Dewan Perwakilan Daerah, dan Dewan Perwakilan Rakyat Daerah (pemilu legislatif) serta UU Nomor 2/2008 tentang Partai Politik telah memberikan mandat kepada parpol untuk memenuhi kuota 30 persen bagi perempuan dalam politik, terutama di lembaga perwakilan rakyat.</w:t>
      </w:r>
    </w:p>
    <w:p>
      <w:pPr>
        <w:pStyle w:val="BodyText"/>
        <w:spacing w:line="360" w:lineRule="auto"/>
        <w:ind w:left="284" w:firstLine="567"/>
        <w:jc w:val="both"/>
        <w:rPr>
          <w:rFonts w:asciiTheme="minorHAnsi" w:hAnsiTheme="minorHAnsi" w:cs="Arial"/>
        </w:rPr>
      </w:pPr>
      <w:r>
        <w:rPr>
          <w:rFonts w:asciiTheme="minorHAnsi" w:hAnsiTheme="minorHAnsi" w:cs="Arial"/>
        </w:rPr>
        <w:t>Kampanye kuota ini adalah bentuk perjuangan politik lanjutan perempuan setelah tuntutan hak pilih bagi perempuan di awal abad 20 tercapai. Kampanye kuota bertujuan untuk melawan domestifikasi perempuan (melawan politik patriarki), karena domestifikasi dan dominasi laki-laki atas perempuan dalam budaya patriarki bukanlah takdir. Untuk itu kampanye kuota tidak selesai dalam wujud keterwakilan perempuan dalam partai politik dan parlemen.</w:t>
      </w:r>
    </w:p>
    <w:p>
      <w:pPr>
        <w:pStyle w:val="Caption"/>
        <w:ind w:left="1418" w:hanging="1134"/>
        <w:jc w:val="both"/>
        <w:rPr>
          <w:b/>
          <w:bCs/>
          <w:i w:val="0"/>
          <w:iCs w:val="0"/>
          <w:color w:val="000000" w:themeColor="text1"/>
          <w:sz w:val="20"/>
          <w:szCs w:val="20"/>
        </w:rPr>
      </w:pPr>
      <w:bookmarkStart w:id="96" w:name="_Toc117550267"/>
      <w:r>
        <w:rPr>
          <w:b/>
          <w:bCs/>
          <w:i w:val="0"/>
          <w:iCs w:val="0"/>
          <w:color w:val="000000" w:themeColor="text1"/>
          <w:sz w:val="20"/>
          <w:szCs w:val="20"/>
        </w:rPr>
        <w:t xml:space="preserve">Gambar 6. </w:t>
      </w:r>
      <w:r>
        <w:rPr>
          <w:b/>
          <w:bCs/>
          <w:i w:val="0"/>
          <w:iCs w:val="0"/>
          <w:color w:val="000000" w:themeColor="text1"/>
          <w:sz w:val="20"/>
          <w:szCs w:val="20"/>
        </w:rPr>
        <w:fldChar w:fldCharType="begin"/>
      </w:r>
      <w:r>
        <w:rPr>
          <w:b/>
          <w:bCs/>
          <w:i w:val="0"/>
          <w:iCs w:val="0"/>
          <w:color w:val="000000" w:themeColor="text1"/>
          <w:sz w:val="20"/>
          <w:szCs w:val="20"/>
        </w:rPr>
        <w:instrText xml:space="preserve"> SEQ Gambar_6. \* ARABIC </w:instrText>
      </w:r>
      <w:r>
        <w:rPr>
          <w:b/>
          <w:bCs/>
          <w:i w:val="0"/>
          <w:iCs w:val="0"/>
          <w:color w:val="000000" w:themeColor="text1"/>
          <w:sz w:val="20"/>
          <w:szCs w:val="20"/>
        </w:rPr>
        <w:fldChar w:fldCharType="separate"/>
      </w:r>
      <w:r>
        <w:rPr>
          <w:b/>
          <w:bCs/>
          <w:i w:val="0"/>
          <w:iCs w:val="0"/>
          <w:noProof/>
          <w:color w:val="000000" w:themeColor="text1"/>
          <w:sz w:val="20"/>
          <w:szCs w:val="20"/>
        </w:rPr>
        <w:t>1</w:t>
      </w:r>
      <w:r>
        <w:rPr>
          <w:b/>
          <w:bCs/>
          <w:i w:val="0"/>
          <w:iCs w:val="0"/>
          <w:color w:val="000000" w:themeColor="text1"/>
          <w:sz w:val="20"/>
          <w:szCs w:val="20"/>
        </w:rPr>
        <w:fldChar w:fldCharType="end"/>
      </w:r>
      <w:r>
        <w:rPr>
          <w:b/>
          <w:bCs/>
          <w:i w:val="0"/>
          <w:iCs w:val="0"/>
          <w:color w:val="000000" w:themeColor="text1"/>
          <w:sz w:val="20"/>
          <w:szCs w:val="20"/>
        </w:rPr>
        <w:tab/>
        <w:t>Persentase  Anggota DPRD Menurut Kabupaten/Kota dan Jenis Kelamin, 2021</w:t>
      </w:r>
      <w:bookmarkEnd w:id="96"/>
    </w:p>
    <w:p>
      <w:r>
        <w:rPr>
          <w:noProof/>
          <w:lang w:val="en-ID" w:eastAsia="en-ID"/>
        </w:rPr>
        <w:drawing>
          <wp:anchor distT="0" distB="0" distL="114300" distR="114300" simplePos="0" relativeHeight="251670528" behindDoc="0" locked="0" layoutInCell="1" allowOverlap="1">
            <wp:simplePos x="0" y="0"/>
            <wp:positionH relativeFrom="column">
              <wp:posOffset>218557</wp:posOffset>
            </wp:positionH>
            <wp:positionV relativeFrom="paragraph">
              <wp:posOffset>1586</wp:posOffset>
            </wp:positionV>
            <wp:extent cx="3849370" cy="1890272"/>
            <wp:effectExtent l="0" t="0" r="0" b="0"/>
            <wp:wrapNone/>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D93ED-0D58-C4FC-F88E-4A39C72E8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pStyle w:val="BodyText"/>
        <w:spacing w:line="240" w:lineRule="auto"/>
        <w:ind w:left="426"/>
        <w:rPr>
          <w:rFonts w:asciiTheme="minorHAnsi" w:hAnsiTheme="minorHAnsi"/>
          <w:i/>
          <w:sz w:val="18"/>
          <w:szCs w:val="18"/>
        </w:rPr>
      </w:pPr>
      <w:r>
        <w:rPr>
          <w:rFonts w:asciiTheme="minorHAnsi" w:hAnsiTheme="minorHAnsi"/>
          <w:i/>
          <w:sz w:val="18"/>
          <w:szCs w:val="18"/>
        </w:rPr>
        <w:t>Sumber: Sekretariat DPRD</w:t>
      </w:r>
    </w:p>
    <w:p>
      <w:pPr>
        <w:pStyle w:val="Title"/>
        <w:spacing w:line="360" w:lineRule="auto"/>
        <w:ind w:left="284" w:firstLine="436"/>
        <w:jc w:val="both"/>
        <w:rPr>
          <w:rFonts w:cs="Calibri"/>
          <w:b w:val="0"/>
          <w:color w:val="000000" w:themeColor="text1"/>
          <w:sz w:val="20"/>
          <w:lang w:val="id-ID"/>
        </w:rPr>
      </w:pPr>
      <w:r>
        <w:rPr>
          <w:rFonts w:cs="Calibri"/>
          <w:b w:val="0"/>
          <w:sz w:val="20"/>
          <w:lang w:val="id-ID"/>
        </w:rPr>
        <w:t xml:space="preserve">Perwujudan dari partisipasi perempuan dalam politik tercermin pada keanggotaan lembaga legislatif. Peran serta kaum perempuan di Provinsi Kalimantan Tengah dalam bidang politik masih belum menunjukkan pergeseran yang nyata. Hal ini tercermin dari keanggotaan perempuan dalam Dewan Perwakilan Rakyat Daerah (DPRD). Berdasarkan jumlah anggota DPRD Kabupaten/kota masa kerja tahun </w:t>
      </w:r>
      <w:r>
        <w:rPr>
          <w:rFonts w:cs="Calibri"/>
          <w:b w:val="0"/>
          <w:color w:val="000000" w:themeColor="text1"/>
          <w:sz w:val="20"/>
          <w:lang w:val="id-ID"/>
        </w:rPr>
        <w:t>20</w:t>
      </w:r>
      <w:r>
        <w:rPr>
          <w:rFonts w:cs="Calibri"/>
          <w:b w:val="0"/>
          <w:color w:val="000000" w:themeColor="text1"/>
          <w:sz w:val="20"/>
        </w:rPr>
        <w:t>20</w:t>
      </w:r>
      <w:r>
        <w:rPr>
          <w:rFonts w:cs="Calibri"/>
          <w:b w:val="0"/>
          <w:color w:val="000000" w:themeColor="text1"/>
          <w:sz w:val="20"/>
          <w:lang w:val="id-ID"/>
        </w:rPr>
        <w:t>-20</w:t>
      </w:r>
      <w:r>
        <w:rPr>
          <w:rFonts w:cs="Calibri"/>
          <w:b w:val="0"/>
          <w:color w:val="000000" w:themeColor="text1"/>
          <w:sz w:val="20"/>
        </w:rPr>
        <w:t>25</w:t>
      </w:r>
      <w:r>
        <w:rPr>
          <w:rFonts w:cs="Calibri"/>
          <w:b w:val="0"/>
          <w:color w:val="000000" w:themeColor="text1"/>
          <w:sz w:val="20"/>
          <w:lang w:val="id-ID"/>
        </w:rPr>
        <w:t xml:space="preserve">,  </w:t>
      </w:r>
      <w:r>
        <w:rPr>
          <w:rFonts w:cs="Calibri"/>
          <w:b w:val="0"/>
          <w:color w:val="000000" w:themeColor="text1"/>
          <w:sz w:val="20"/>
        </w:rPr>
        <w:t>ada empat kabupaten/kota</w:t>
      </w:r>
      <w:r>
        <w:rPr>
          <w:rFonts w:cs="Calibri"/>
          <w:b w:val="0"/>
          <w:color w:val="000000" w:themeColor="text1"/>
          <w:sz w:val="20"/>
          <w:lang w:val="id-ID"/>
        </w:rPr>
        <w:t xml:space="preserve"> yang mempunyai anggota DPRD wanita yang lebih dari 30 persen </w:t>
      </w:r>
      <w:r>
        <w:rPr>
          <w:rFonts w:cs="Calibri"/>
          <w:b w:val="0"/>
          <w:color w:val="000000" w:themeColor="text1"/>
          <w:sz w:val="20"/>
        </w:rPr>
        <w:t>yaitu Kabupaten Gunung Mas, Kabupaten Barito Selatan, Kabupaten Barito Utara, dan Kota Palangka Raya. S</w:t>
      </w:r>
      <w:r>
        <w:rPr>
          <w:rFonts w:cs="Calibri"/>
          <w:b w:val="0"/>
          <w:color w:val="000000" w:themeColor="text1"/>
          <w:sz w:val="20"/>
          <w:lang w:val="id-ID"/>
        </w:rPr>
        <w:t xml:space="preserve">edangkan </w:t>
      </w:r>
      <w:r>
        <w:rPr>
          <w:rFonts w:cs="Calibri"/>
          <w:b w:val="0"/>
          <w:color w:val="000000" w:themeColor="text1"/>
          <w:sz w:val="20"/>
        </w:rPr>
        <w:t>k</w:t>
      </w:r>
      <w:r>
        <w:rPr>
          <w:rFonts w:cs="Calibri"/>
          <w:b w:val="0"/>
          <w:color w:val="000000" w:themeColor="text1"/>
          <w:sz w:val="20"/>
          <w:lang w:val="id-ID"/>
        </w:rPr>
        <w:t xml:space="preserve">abupaten lain persentase keterwakilan perempuan masih di bawah 30 persen, terendah  ada di Kabupaten </w:t>
      </w:r>
      <w:r>
        <w:rPr>
          <w:rFonts w:cs="Calibri"/>
          <w:b w:val="0"/>
          <w:color w:val="000000" w:themeColor="text1"/>
          <w:sz w:val="20"/>
        </w:rPr>
        <w:t xml:space="preserve">Seruyan, yaitu </w:t>
      </w:r>
      <w:r>
        <w:rPr>
          <w:rFonts w:cs="Calibri"/>
          <w:b w:val="0"/>
          <w:color w:val="000000" w:themeColor="text1"/>
          <w:sz w:val="20"/>
          <w:lang w:val="id-ID"/>
        </w:rPr>
        <w:t xml:space="preserve">sebesar </w:t>
      </w:r>
      <w:r>
        <w:rPr>
          <w:rFonts w:cs="Calibri"/>
          <w:b w:val="0"/>
          <w:color w:val="000000" w:themeColor="text1"/>
          <w:sz w:val="20"/>
        </w:rPr>
        <w:t>12</w:t>
      </w:r>
      <w:r>
        <w:rPr>
          <w:rFonts w:cs="Calibri"/>
          <w:b w:val="0"/>
          <w:color w:val="000000" w:themeColor="text1"/>
          <w:sz w:val="20"/>
          <w:lang w:val="id-ID"/>
        </w:rPr>
        <w:t xml:space="preserve"> persen. DPRD Tingkat I Provinsi Kalimantan Tengah </w:t>
      </w:r>
      <w:r>
        <w:rPr>
          <w:rFonts w:cs="Calibri"/>
          <w:b w:val="0"/>
          <w:color w:val="000000" w:themeColor="text1"/>
          <w:sz w:val="20"/>
        </w:rPr>
        <w:t>terdiri atas 33,33 p</w:t>
      </w:r>
      <w:r>
        <w:rPr>
          <w:rFonts w:cs="Calibri"/>
          <w:b w:val="0"/>
          <w:color w:val="000000" w:themeColor="text1"/>
          <w:sz w:val="20"/>
          <w:lang w:val="id-ID"/>
        </w:rPr>
        <w:t xml:space="preserve">ersen anggota perempuan dan </w:t>
      </w:r>
      <w:r>
        <w:rPr>
          <w:rFonts w:cs="Calibri"/>
          <w:b w:val="0"/>
          <w:color w:val="000000" w:themeColor="text1"/>
          <w:sz w:val="20"/>
        </w:rPr>
        <w:t>66,67</w:t>
      </w:r>
      <w:r>
        <w:rPr>
          <w:rFonts w:cs="Calibri"/>
          <w:b w:val="0"/>
          <w:color w:val="000000" w:themeColor="text1"/>
          <w:sz w:val="20"/>
          <w:lang w:val="id-ID"/>
        </w:rPr>
        <w:t xml:space="preserve"> persen anggota laki-laki</w:t>
      </w:r>
      <w:r>
        <w:rPr>
          <w:rFonts w:cs="Calibri"/>
          <w:b w:val="0"/>
          <w:color w:val="000000" w:themeColor="text1"/>
          <w:sz w:val="20"/>
        </w:rPr>
        <w:t>, sudah di atas</w:t>
      </w:r>
      <w:r>
        <w:rPr>
          <w:rFonts w:cs="Calibri"/>
          <w:b w:val="0"/>
          <w:color w:val="000000" w:themeColor="text1"/>
          <w:sz w:val="20"/>
          <w:lang w:val="id-ID"/>
        </w:rPr>
        <w:t xml:space="preserve"> target minimum keterwakilan 30 persen perempuan.</w:t>
      </w: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ind w:left="284" w:firstLine="436"/>
        <w:jc w:val="both"/>
        <w:rPr>
          <w:rFonts w:cs="Calibri"/>
          <w:b w:val="0"/>
          <w:color w:val="000000" w:themeColor="text1"/>
          <w:sz w:val="20"/>
          <w:lang w:val="id-ID"/>
        </w:rPr>
      </w:pPr>
    </w:p>
    <w:p>
      <w:pPr>
        <w:pStyle w:val="Title"/>
        <w:spacing w:line="360" w:lineRule="auto"/>
        <w:jc w:val="both"/>
        <w:rPr>
          <w:rFonts w:cs="Calibri"/>
          <w:b w:val="0"/>
          <w:color w:val="000000" w:themeColor="text1"/>
          <w:sz w:val="20"/>
          <w:lang w:val="id-ID"/>
        </w:rPr>
      </w:pPr>
    </w:p>
    <w:p>
      <w:pPr>
        <w:pStyle w:val="Heading2"/>
        <w:numPr>
          <w:ilvl w:val="0"/>
          <w:numId w:val="0"/>
        </w:numPr>
        <w:ind w:left="142" w:firstLine="142"/>
        <w:rPr>
          <w:rFonts w:asciiTheme="minorHAnsi" w:hAnsiTheme="minorHAnsi" w:cstheme="minorHAnsi"/>
          <w:sz w:val="20"/>
          <w:szCs w:val="20"/>
          <w:lang w:val="en-US"/>
        </w:rPr>
      </w:pPr>
      <w:bookmarkStart w:id="97" w:name="_Toc118715997"/>
      <w:r>
        <w:rPr>
          <w:rFonts w:asciiTheme="minorHAnsi" w:hAnsiTheme="minorHAnsi" w:cstheme="minorHAnsi"/>
          <w:sz w:val="20"/>
          <w:szCs w:val="20"/>
          <w:lang w:val="en-US"/>
        </w:rPr>
        <w:t>6.2</w:t>
      </w:r>
      <w:r>
        <w:rPr>
          <w:rFonts w:asciiTheme="minorHAnsi" w:hAnsiTheme="minorHAnsi" w:cstheme="minorHAnsi"/>
          <w:sz w:val="20"/>
          <w:szCs w:val="20"/>
          <w:lang w:val="en-US"/>
        </w:rPr>
        <w:tab/>
        <w:t>Partisipasi di Lembaga Yudikatif</w:t>
      </w:r>
      <w:bookmarkEnd w:id="97"/>
    </w:p>
    <w:p>
      <w:pPr>
        <w:spacing w:line="360" w:lineRule="auto"/>
        <w:ind w:left="284" w:firstLine="567"/>
        <w:jc w:val="both"/>
      </w:pPr>
      <w:r>
        <w:t>Kepolisian Negara Republik Indonesia Daerah (</w:t>
      </w:r>
      <w:r>
        <w:rPr>
          <w:bCs/>
        </w:rPr>
        <w:t>Polda</w:t>
      </w:r>
      <w:r>
        <w:t>) merupakan satuan pelaksana utama Kewilayahan yang berada di bawah Kapolri. Polda bertugas menyelenggarakan tugas Polri pada tingkat kewilayahan. Polda dipimpin oleh Kepala Kepolisian Negara Republik Indonesia Daerah (</w:t>
      </w:r>
      <w:r>
        <w:rPr>
          <w:bCs/>
        </w:rPr>
        <w:t>Kapolda</w:t>
      </w:r>
      <w:r>
        <w:t>), yang bertanggung jawab kepada Kapolri. Kapolda dibantu oleh Wakil Kapolda (Wakapolda). Setiap Polda menjaga keamanan sebuah Provinsi. Polda membawahi Kepolisian Negara Republik Indonesia Resort (</w:t>
      </w:r>
      <w:r>
        <w:rPr>
          <w:bCs/>
        </w:rPr>
        <w:t>Polres</w:t>
      </w:r>
      <w:r>
        <w:t>). Setiap Polres menjaga keamanan sebuah Kota atau Kabupaten. Polres membawahi Kepolisian Negara Republik Indonesia Sektor (Polsek). Setiap Polsek menjaga keamanan sebuah Kecamatan.</w:t>
      </w:r>
    </w:p>
    <w:p>
      <w:pPr>
        <w:spacing w:line="360" w:lineRule="auto"/>
        <w:ind w:left="284" w:firstLine="567"/>
        <w:jc w:val="both"/>
      </w:pPr>
    </w:p>
    <w:p>
      <w:pPr>
        <w:spacing w:line="360" w:lineRule="auto"/>
        <w:ind w:left="284" w:firstLine="567"/>
        <w:jc w:val="both"/>
      </w:pPr>
    </w:p>
    <w:p>
      <w:pPr>
        <w:spacing w:line="360" w:lineRule="auto"/>
        <w:ind w:left="284" w:firstLine="567"/>
        <w:jc w:val="both"/>
      </w:pPr>
    </w:p>
    <w:p>
      <w:pPr>
        <w:spacing w:line="360" w:lineRule="auto"/>
        <w:ind w:left="284" w:firstLine="567"/>
        <w:jc w:val="both"/>
      </w:pPr>
    </w:p>
    <w:p>
      <w:pPr>
        <w:spacing w:line="360" w:lineRule="auto"/>
        <w:ind w:left="284" w:firstLine="567"/>
        <w:jc w:val="both"/>
      </w:pPr>
    </w:p>
    <w:p>
      <w:pPr>
        <w:spacing w:line="360" w:lineRule="auto"/>
        <w:ind w:left="284" w:firstLine="567"/>
        <w:jc w:val="both"/>
      </w:pPr>
    </w:p>
    <w:p>
      <w:pPr>
        <w:pStyle w:val="Caption"/>
        <w:ind w:left="1418" w:hanging="1134"/>
        <w:rPr>
          <w:b/>
          <w:bCs/>
          <w:i w:val="0"/>
          <w:iCs w:val="0"/>
          <w:color w:val="FF0000"/>
          <w:sz w:val="20"/>
          <w:szCs w:val="20"/>
        </w:rPr>
      </w:pPr>
      <w:bookmarkStart w:id="98" w:name="_Toc117550293"/>
      <w:r>
        <w:rPr>
          <w:b/>
          <w:bCs/>
          <w:i w:val="0"/>
          <w:iCs w:val="0"/>
          <w:color w:val="000000" w:themeColor="text1"/>
          <w:sz w:val="20"/>
          <w:szCs w:val="20"/>
        </w:rPr>
        <w:t xml:space="preserve">Tabel 6. </w:t>
      </w:r>
      <w:r>
        <w:rPr>
          <w:b/>
          <w:bCs/>
          <w:i w:val="0"/>
          <w:iCs w:val="0"/>
          <w:color w:val="000000" w:themeColor="text1"/>
          <w:sz w:val="20"/>
          <w:szCs w:val="20"/>
        </w:rPr>
        <w:fldChar w:fldCharType="begin"/>
      </w:r>
      <w:r>
        <w:rPr>
          <w:b/>
          <w:bCs/>
          <w:i w:val="0"/>
          <w:iCs w:val="0"/>
          <w:color w:val="000000" w:themeColor="text1"/>
          <w:sz w:val="20"/>
          <w:szCs w:val="20"/>
        </w:rPr>
        <w:instrText xml:space="preserve"> SEQ Tabel_6. \* ARABIC </w:instrText>
      </w:r>
      <w:r>
        <w:rPr>
          <w:b/>
          <w:bCs/>
          <w:i w:val="0"/>
          <w:iCs w:val="0"/>
          <w:color w:val="000000" w:themeColor="text1"/>
          <w:sz w:val="20"/>
          <w:szCs w:val="20"/>
        </w:rPr>
        <w:fldChar w:fldCharType="separate"/>
      </w:r>
      <w:r>
        <w:rPr>
          <w:b/>
          <w:bCs/>
          <w:i w:val="0"/>
          <w:iCs w:val="0"/>
          <w:noProof/>
          <w:color w:val="000000" w:themeColor="text1"/>
          <w:sz w:val="20"/>
          <w:szCs w:val="20"/>
        </w:rPr>
        <w:t>2</w:t>
      </w:r>
      <w:r>
        <w:rPr>
          <w:b/>
          <w:bCs/>
          <w:i w:val="0"/>
          <w:iCs w:val="0"/>
          <w:color w:val="000000" w:themeColor="text1"/>
          <w:sz w:val="20"/>
          <w:szCs w:val="20"/>
        </w:rPr>
        <w:fldChar w:fldCharType="end"/>
      </w:r>
      <w:r>
        <w:rPr>
          <w:b/>
          <w:bCs/>
          <w:i w:val="0"/>
          <w:iCs w:val="0"/>
          <w:color w:val="FF0000"/>
          <w:sz w:val="20"/>
          <w:szCs w:val="20"/>
        </w:rPr>
        <w:tab/>
      </w:r>
      <w:bookmarkEnd w:id="98"/>
      <w:r>
        <w:rPr>
          <w:b/>
          <w:bCs/>
          <w:i w:val="0"/>
          <w:iCs w:val="0"/>
          <w:color w:val="000000" w:themeColor="text1"/>
          <w:sz w:val="20"/>
          <w:szCs w:val="20"/>
        </w:rPr>
        <w:t>Jumlah dan Persentase Polisi Menurut Kabupaten/Kota dan Jenis Kelamin, 20</w:t>
      </w:r>
      <w:r>
        <w:rPr>
          <w:b/>
          <w:bCs/>
          <w:i w:val="0"/>
          <w:iCs w:val="0"/>
          <w:color w:val="000000" w:themeColor="text1"/>
          <w:sz w:val="20"/>
          <w:szCs w:val="20"/>
          <w:lang w:val="en-US"/>
        </w:rPr>
        <w:t>21</w:t>
      </w:r>
    </w:p>
    <w:tbl>
      <w:tblPr>
        <w:tblpPr w:leftFromText="180" w:rightFromText="180" w:vertAnchor="text" w:tblpX="500" w:tblpY="1"/>
        <w:tblOverlap w:val="never"/>
        <w:tblW w:w="61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4"/>
        <w:gridCol w:w="1417"/>
        <w:gridCol w:w="1134"/>
        <w:gridCol w:w="1205"/>
        <w:gridCol w:w="1063"/>
        <w:gridCol w:w="1276"/>
      </w:tblGrid>
      <w:tr>
        <w:trPr>
          <w:trHeight w:val="397"/>
        </w:trPr>
        <w:tc>
          <w:tcPr>
            <w:tcW w:w="1451" w:type="dxa"/>
            <w:gridSpan w:val="2"/>
            <w:vMerge w:val="restart"/>
            <w:shd w:val="clear" w:color="auto" w:fill="38003D"/>
            <w:vAlign w:val="center"/>
            <w:hideMark/>
          </w:tcPr>
          <w:p>
            <w:pPr>
              <w:spacing w:after="0"/>
              <w:jc w:val="center"/>
              <w:rPr>
                <w:b/>
                <w:bCs/>
                <w:sz w:val="18"/>
                <w:szCs w:val="18"/>
              </w:rPr>
            </w:pPr>
            <w:r>
              <w:rPr>
                <w:b/>
                <w:bCs/>
                <w:sz w:val="18"/>
                <w:szCs w:val="18"/>
              </w:rPr>
              <w:t>Kabupaten/ Kota</w:t>
            </w:r>
          </w:p>
        </w:tc>
        <w:tc>
          <w:tcPr>
            <w:tcW w:w="2339" w:type="dxa"/>
            <w:gridSpan w:val="2"/>
            <w:shd w:val="clear" w:color="auto" w:fill="38003D"/>
            <w:vAlign w:val="center"/>
            <w:hideMark/>
          </w:tcPr>
          <w:p>
            <w:pPr>
              <w:spacing w:after="0"/>
              <w:jc w:val="center"/>
              <w:rPr>
                <w:b/>
                <w:bCs/>
                <w:sz w:val="18"/>
                <w:szCs w:val="18"/>
              </w:rPr>
            </w:pPr>
            <w:r>
              <w:rPr>
                <w:b/>
                <w:bCs/>
                <w:sz w:val="18"/>
                <w:szCs w:val="18"/>
              </w:rPr>
              <w:t>Jumlah</w:t>
            </w:r>
          </w:p>
        </w:tc>
        <w:tc>
          <w:tcPr>
            <w:tcW w:w="2339" w:type="dxa"/>
            <w:gridSpan w:val="2"/>
            <w:shd w:val="clear" w:color="auto" w:fill="38003D"/>
            <w:vAlign w:val="center"/>
          </w:tcPr>
          <w:p>
            <w:pPr>
              <w:spacing w:after="0"/>
              <w:jc w:val="center"/>
              <w:rPr>
                <w:b/>
                <w:bCs/>
                <w:sz w:val="18"/>
                <w:szCs w:val="18"/>
              </w:rPr>
            </w:pPr>
            <w:r>
              <w:rPr>
                <w:b/>
                <w:bCs/>
                <w:sz w:val="18"/>
                <w:szCs w:val="18"/>
              </w:rPr>
              <w:t>Persentase</w:t>
            </w:r>
          </w:p>
        </w:tc>
      </w:tr>
      <w:tr>
        <w:trPr>
          <w:trHeight w:val="397"/>
        </w:trPr>
        <w:tc>
          <w:tcPr>
            <w:tcW w:w="1451" w:type="dxa"/>
            <w:gridSpan w:val="2"/>
            <w:vMerge/>
            <w:shd w:val="clear" w:color="auto" w:fill="38003D"/>
            <w:vAlign w:val="center"/>
            <w:hideMark/>
          </w:tcPr>
          <w:p>
            <w:pPr>
              <w:spacing w:after="0"/>
              <w:rPr>
                <w:b/>
                <w:bCs/>
                <w:sz w:val="18"/>
                <w:szCs w:val="18"/>
              </w:rPr>
            </w:pPr>
          </w:p>
        </w:tc>
        <w:tc>
          <w:tcPr>
            <w:tcW w:w="1134" w:type="dxa"/>
            <w:shd w:val="clear" w:color="auto" w:fill="38003D"/>
            <w:vAlign w:val="center"/>
            <w:hideMark/>
          </w:tcPr>
          <w:p>
            <w:pPr>
              <w:spacing w:after="0"/>
              <w:jc w:val="center"/>
              <w:rPr>
                <w:b/>
                <w:bCs/>
                <w:sz w:val="18"/>
                <w:szCs w:val="18"/>
              </w:rPr>
            </w:pPr>
            <w:r>
              <w:rPr>
                <w:b/>
                <w:bCs/>
                <w:sz w:val="18"/>
                <w:szCs w:val="18"/>
              </w:rPr>
              <w:t>Laki-laki</w:t>
            </w:r>
          </w:p>
        </w:tc>
        <w:tc>
          <w:tcPr>
            <w:tcW w:w="1205" w:type="dxa"/>
            <w:shd w:val="clear" w:color="auto" w:fill="38003D"/>
            <w:vAlign w:val="center"/>
            <w:hideMark/>
          </w:tcPr>
          <w:p>
            <w:pPr>
              <w:spacing w:after="0"/>
              <w:jc w:val="center"/>
              <w:rPr>
                <w:b/>
                <w:bCs/>
                <w:sz w:val="18"/>
                <w:szCs w:val="18"/>
              </w:rPr>
            </w:pPr>
            <w:r>
              <w:rPr>
                <w:b/>
                <w:bCs/>
                <w:sz w:val="18"/>
                <w:szCs w:val="18"/>
              </w:rPr>
              <w:t>Perempuan</w:t>
            </w:r>
          </w:p>
        </w:tc>
        <w:tc>
          <w:tcPr>
            <w:tcW w:w="1063" w:type="dxa"/>
            <w:shd w:val="clear" w:color="auto" w:fill="38003D"/>
            <w:vAlign w:val="center"/>
            <w:hideMark/>
          </w:tcPr>
          <w:p>
            <w:pPr>
              <w:spacing w:after="0"/>
              <w:jc w:val="center"/>
              <w:rPr>
                <w:b/>
                <w:bCs/>
                <w:sz w:val="18"/>
                <w:szCs w:val="18"/>
              </w:rPr>
            </w:pPr>
            <w:r>
              <w:rPr>
                <w:b/>
                <w:bCs/>
                <w:sz w:val="18"/>
                <w:szCs w:val="18"/>
              </w:rPr>
              <w:t>Laki-laki</w:t>
            </w:r>
          </w:p>
        </w:tc>
        <w:tc>
          <w:tcPr>
            <w:tcW w:w="1276" w:type="dxa"/>
            <w:shd w:val="clear" w:color="auto" w:fill="38003D"/>
            <w:vAlign w:val="center"/>
          </w:tcPr>
          <w:p>
            <w:pPr>
              <w:spacing w:after="0"/>
              <w:jc w:val="center"/>
              <w:rPr>
                <w:b/>
                <w:bCs/>
                <w:sz w:val="18"/>
                <w:szCs w:val="18"/>
              </w:rPr>
            </w:pPr>
            <w:r>
              <w:rPr>
                <w:b/>
                <w:bCs/>
                <w:sz w:val="18"/>
                <w:szCs w:val="18"/>
              </w:rPr>
              <w:t>Perempuan</w:t>
            </w:r>
          </w:p>
        </w:tc>
      </w:tr>
      <w:tr>
        <w:trPr>
          <w:gridBefore w:val="1"/>
          <w:wBefore w:w="34" w:type="dxa"/>
          <w:trHeight w:val="221"/>
        </w:trPr>
        <w:tc>
          <w:tcPr>
            <w:tcW w:w="1417" w:type="dxa"/>
            <w:shd w:val="clear" w:color="auto" w:fill="38003D"/>
            <w:vAlign w:val="center"/>
            <w:hideMark/>
          </w:tcPr>
          <w:p>
            <w:pPr>
              <w:spacing w:after="0"/>
              <w:jc w:val="center"/>
              <w:rPr>
                <w:bCs/>
                <w:sz w:val="18"/>
                <w:szCs w:val="18"/>
              </w:rPr>
            </w:pPr>
            <w:r>
              <w:rPr>
                <w:bCs/>
                <w:sz w:val="18"/>
                <w:szCs w:val="18"/>
              </w:rPr>
              <w:t>(1)</w:t>
            </w:r>
          </w:p>
        </w:tc>
        <w:tc>
          <w:tcPr>
            <w:tcW w:w="1134" w:type="dxa"/>
            <w:shd w:val="clear" w:color="auto" w:fill="38003D"/>
            <w:vAlign w:val="center"/>
            <w:hideMark/>
          </w:tcPr>
          <w:p>
            <w:pPr>
              <w:spacing w:after="0"/>
              <w:jc w:val="center"/>
              <w:rPr>
                <w:bCs/>
                <w:sz w:val="18"/>
                <w:szCs w:val="18"/>
              </w:rPr>
            </w:pPr>
            <w:r>
              <w:rPr>
                <w:bCs/>
                <w:sz w:val="18"/>
                <w:szCs w:val="18"/>
              </w:rPr>
              <w:t>(2)</w:t>
            </w:r>
          </w:p>
        </w:tc>
        <w:tc>
          <w:tcPr>
            <w:tcW w:w="1205" w:type="dxa"/>
            <w:shd w:val="clear" w:color="auto" w:fill="38003D"/>
            <w:vAlign w:val="center"/>
            <w:hideMark/>
          </w:tcPr>
          <w:p>
            <w:pPr>
              <w:spacing w:after="0"/>
              <w:jc w:val="center"/>
              <w:rPr>
                <w:bCs/>
                <w:sz w:val="18"/>
                <w:szCs w:val="18"/>
              </w:rPr>
            </w:pPr>
            <w:r>
              <w:rPr>
                <w:bCs/>
                <w:sz w:val="18"/>
                <w:szCs w:val="18"/>
              </w:rPr>
              <w:t>(3)</w:t>
            </w:r>
          </w:p>
        </w:tc>
        <w:tc>
          <w:tcPr>
            <w:tcW w:w="1063" w:type="dxa"/>
            <w:shd w:val="clear" w:color="auto" w:fill="38003D"/>
            <w:vAlign w:val="center"/>
            <w:hideMark/>
          </w:tcPr>
          <w:p>
            <w:pPr>
              <w:spacing w:after="0"/>
              <w:jc w:val="center"/>
              <w:rPr>
                <w:bCs/>
                <w:sz w:val="18"/>
                <w:szCs w:val="18"/>
              </w:rPr>
            </w:pPr>
            <w:r>
              <w:rPr>
                <w:bCs/>
                <w:sz w:val="18"/>
                <w:szCs w:val="18"/>
              </w:rPr>
              <w:t>(4)</w:t>
            </w:r>
          </w:p>
        </w:tc>
        <w:tc>
          <w:tcPr>
            <w:tcW w:w="1276" w:type="dxa"/>
            <w:shd w:val="clear" w:color="auto" w:fill="38003D"/>
            <w:vAlign w:val="center"/>
          </w:tcPr>
          <w:p>
            <w:pPr>
              <w:spacing w:after="0"/>
              <w:jc w:val="center"/>
              <w:rPr>
                <w:bCs/>
                <w:sz w:val="18"/>
                <w:szCs w:val="18"/>
              </w:rPr>
            </w:pPr>
            <w:r>
              <w:rPr>
                <w:bCs/>
                <w:sz w:val="18"/>
                <w:szCs w:val="18"/>
              </w:rPr>
              <w:t>(5)</w:t>
            </w:r>
          </w:p>
        </w:tc>
      </w:tr>
      <w:tr>
        <w:trPr>
          <w:gridBefore w:val="1"/>
          <w:wBefore w:w="34" w:type="dxa"/>
          <w:trHeight w:val="340"/>
        </w:trPr>
        <w:tc>
          <w:tcPr>
            <w:tcW w:w="1417" w:type="dxa"/>
            <w:shd w:val="clear" w:color="auto" w:fill="EAF1DD" w:themeFill="accent3" w:themeFillTint="33"/>
            <w:vAlign w:val="center"/>
            <w:hideMark/>
          </w:tcPr>
          <w:p>
            <w:pPr>
              <w:spacing w:after="0"/>
              <w:rPr>
                <w:bCs/>
                <w:sz w:val="18"/>
                <w:szCs w:val="18"/>
              </w:rPr>
            </w:pPr>
            <w:r>
              <w:rPr>
                <w:bCs/>
                <w:sz w:val="18"/>
                <w:szCs w:val="18"/>
              </w:rPr>
              <w:t>Kejaksaan Tinggi</w:t>
            </w:r>
          </w:p>
        </w:tc>
        <w:tc>
          <w:tcPr>
            <w:tcW w:w="1134" w:type="dxa"/>
            <w:shd w:val="clear" w:color="auto" w:fill="EAF1DD" w:themeFill="accent3" w:themeFillTint="33"/>
            <w:vAlign w:val="center"/>
            <w:hideMark/>
          </w:tcPr>
          <w:p>
            <w:pPr>
              <w:spacing w:after="0"/>
              <w:ind w:right="340"/>
              <w:jc w:val="right"/>
              <w:rPr>
                <w:rFonts w:ascii="Calibri" w:hAnsi="Calibri" w:cs="Arial"/>
                <w:sz w:val="18"/>
                <w:szCs w:val="18"/>
              </w:rPr>
            </w:pPr>
            <w:r>
              <w:rPr>
                <w:rFonts w:ascii="Calibri" w:hAnsi="Calibri" w:cs="Arial"/>
                <w:sz w:val="18"/>
                <w:szCs w:val="18"/>
              </w:rPr>
              <w:t>48</w:t>
            </w:r>
          </w:p>
        </w:tc>
        <w:tc>
          <w:tcPr>
            <w:tcW w:w="1205" w:type="dxa"/>
            <w:shd w:val="clear" w:color="auto" w:fill="EAF1DD" w:themeFill="accent3" w:themeFillTint="33"/>
            <w:vAlign w:val="center"/>
            <w:hideMark/>
          </w:tcPr>
          <w:p>
            <w:pPr>
              <w:spacing w:after="0"/>
              <w:jc w:val="center"/>
              <w:rPr>
                <w:rFonts w:ascii="Calibri" w:hAnsi="Calibri" w:cs="Arial"/>
                <w:sz w:val="18"/>
                <w:szCs w:val="18"/>
              </w:rPr>
            </w:pPr>
            <w:r>
              <w:rPr>
                <w:rFonts w:ascii="Calibri" w:hAnsi="Calibri" w:cs="Arial"/>
                <w:sz w:val="18"/>
                <w:szCs w:val="18"/>
              </w:rPr>
              <w:t>10</w:t>
            </w:r>
          </w:p>
        </w:tc>
        <w:tc>
          <w:tcPr>
            <w:tcW w:w="1063" w:type="dxa"/>
            <w:shd w:val="clear" w:color="auto" w:fill="EAF1DD" w:themeFill="accent3" w:themeFillTint="33"/>
            <w:noWrap/>
            <w:vAlign w:val="bottom"/>
            <w:hideMark/>
          </w:tcPr>
          <w:p>
            <w:pPr>
              <w:spacing w:after="0"/>
              <w:jc w:val="center"/>
              <w:rPr>
                <w:rFonts w:ascii="Calibri" w:hAnsi="Calibri" w:cs="Arial"/>
                <w:sz w:val="18"/>
                <w:szCs w:val="18"/>
              </w:rPr>
            </w:pPr>
            <w:r>
              <w:rPr>
                <w:rFonts w:ascii="Calibri" w:hAnsi="Calibri" w:cs="Arial"/>
                <w:sz w:val="18"/>
                <w:szCs w:val="18"/>
              </w:rPr>
              <w:t>82.76%</w:t>
            </w:r>
          </w:p>
        </w:tc>
        <w:tc>
          <w:tcPr>
            <w:tcW w:w="1276" w:type="dxa"/>
            <w:shd w:val="clear" w:color="auto" w:fill="EAF1DD" w:themeFill="accent3" w:themeFillTint="33"/>
            <w:vAlign w:val="bottom"/>
          </w:tcPr>
          <w:p>
            <w:pPr>
              <w:spacing w:after="0"/>
              <w:jc w:val="center"/>
              <w:rPr>
                <w:rFonts w:ascii="Calibri" w:hAnsi="Calibri" w:cs="Arial"/>
                <w:sz w:val="18"/>
                <w:szCs w:val="18"/>
              </w:rPr>
            </w:pPr>
            <w:r>
              <w:rPr>
                <w:rFonts w:ascii="Calibri" w:hAnsi="Calibri" w:cs="Arial"/>
                <w:sz w:val="18"/>
                <w:szCs w:val="18"/>
              </w:rPr>
              <w:t>17.24%</w:t>
            </w:r>
          </w:p>
        </w:tc>
      </w:tr>
      <w:tr>
        <w:trPr>
          <w:gridBefore w:val="1"/>
          <w:wBefore w:w="34" w:type="dxa"/>
          <w:trHeight w:val="340"/>
        </w:trPr>
        <w:tc>
          <w:tcPr>
            <w:tcW w:w="1417" w:type="dxa"/>
            <w:shd w:val="clear" w:color="auto" w:fill="E5DFEC" w:themeFill="accent4" w:themeFillTint="33"/>
            <w:vAlign w:val="center"/>
            <w:hideMark/>
          </w:tcPr>
          <w:p>
            <w:pPr>
              <w:spacing w:after="0"/>
              <w:rPr>
                <w:sz w:val="18"/>
                <w:szCs w:val="18"/>
              </w:rPr>
            </w:pPr>
            <w:r>
              <w:rPr>
                <w:sz w:val="18"/>
                <w:szCs w:val="18"/>
              </w:rPr>
              <w:t>Kotawaringin Barat</w:t>
            </w:r>
          </w:p>
        </w:tc>
        <w:tc>
          <w:tcPr>
            <w:tcW w:w="1134"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10</w:t>
            </w:r>
          </w:p>
        </w:tc>
        <w:tc>
          <w:tcPr>
            <w:tcW w:w="1205"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2</w:t>
            </w:r>
          </w:p>
        </w:tc>
        <w:tc>
          <w:tcPr>
            <w:tcW w:w="1063" w:type="dxa"/>
            <w:shd w:val="clear" w:color="auto" w:fill="E5DFEC" w:themeFill="accent4" w:themeFillTint="33"/>
            <w:noWrap/>
            <w:vAlign w:val="bottom"/>
            <w:hideMark/>
          </w:tcPr>
          <w:p>
            <w:pPr>
              <w:spacing w:after="0"/>
              <w:jc w:val="center"/>
              <w:rPr>
                <w:rFonts w:ascii="Calibri" w:hAnsi="Calibri" w:cs="Arial"/>
                <w:sz w:val="18"/>
                <w:szCs w:val="18"/>
              </w:rPr>
            </w:pPr>
            <w:r>
              <w:rPr>
                <w:rFonts w:ascii="Calibri" w:hAnsi="Calibri" w:cs="Arial"/>
                <w:sz w:val="18"/>
                <w:szCs w:val="18"/>
              </w:rPr>
              <w:t>83.33%</w:t>
            </w:r>
          </w:p>
        </w:tc>
        <w:tc>
          <w:tcPr>
            <w:tcW w:w="1276" w:type="dxa"/>
            <w:shd w:val="clear" w:color="auto" w:fill="E5DFEC" w:themeFill="accent4" w:themeFillTint="33"/>
            <w:vAlign w:val="bottom"/>
          </w:tcPr>
          <w:p>
            <w:pPr>
              <w:spacing w:after="0"/>
              <w:jc w:val="center"/>
              <w:rPr>
                <w:rFonts w:ascii="Calibri" w:hAnsi="Calibri" w:cs="Arial"/>
                <w:sz w:val="18"/>
                <w:szCs w:val="18"/>
              </w:rPr>
            </w:pPr>
            <w:r>
              <w:rPr>
                <w:rFonts w:ascii="Calibri" w:hAnsi="Calibri" w:cs="Arial"/>
                <w:sz w:val="18"/>
                <w:szCs w:val="18"/>
              </w:rPr>
              <w:t>16.67%</w:t>
            </w:r>
          </w:p>
        </w:tc>
      </w:tr>
      <w:tr>
        <w:trPr>
          <w:gridBefore w:val="1"/>
          <w:wBefore w:w="34" w:type="dxa"/>
          <w:trHeight w:val="340"/>
        </w:trPr>
        <w:tc>
          <w:tcPr>
            <w:tcW w:w="1417" w:type="dxa"/>
            <w:shd w:val="clear" w:color="auto" w:fill="EAF1DD" w:themeFill="accent3" w:themeFillTint="33"/>
            <w:vAlign w:val="center"/>
            <w:hideMark/>
          </w:tcPr>
          <w:p>
            <w:pPr>
              <w:spacing w:after="0"/>
              <w:rPr>
                <w:sz w:val="18"/>
                <w:szCs w:val="18"/>
              </w:rPr>
            </w:pPr>
            <w:r>
              <w:rPr>
                <w:sz w:val="18"/>
                <w:szCs w:val="18"/>
              </w:rPr>
              <w:t>Kotawaringin Timur</w:t>
            </w:r>
          </w:p>
        </w:tc>
        <w:tc>
          <w:tcPr>
            <w:tcW w:w="1134"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8</w:t>
            </w:r>
          </w:p>
        </w:tc>
        <w:tc>
          <w:tcPr>
            <w:tcW w:w="1205"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4</w:t>
            </w:r>
          </w:p>
        </w:tc>
        <w:tc>
          <w:tcPr>
            <w:tcW w:w="1063" w:type="dxa"/>
            <w:shd w:val="clear" w:color="auto" w:fill="EAF1DD" w:themeFill="accent3" w:themeFillTint="33"/>
            <w:noWrap/>
            <w:vAlign w:val="bottom"/>
            <w:hideMark/>
          </w:tcPr>
          <w:p>
            <w:pPr>
              <w:spacing w:after="0"/>
              <w:jc w:val="center"/>
              <w:rPr>
                <w:rFonts w:ascii="Calibri" w:hAnsi="Calibri" w:cs="Arial"/>
                <w:sz w:val="18"/>
                <w:szCs w:val="18"/>
              </w:rPr>
            </w:pPr>
            <w:r>
              <w:rPr>
                <w:rFonts w:ascii="Calibri" w:hAnsi="Calibri" w:cs="Arial"/>
                <w:sz w:val="18"/>
                <w:szCs w:val="18"/>
              </w:rPr>
              <w:t>66.67%</w:t>
            </w:r>
          </w:p>
        </w:tc>
        <w:tc>
          <w:tcPr>
            <w:tcW w:w="1276" w:type="dxa"/>
            <w:shd w:val="clear" w:color="auto" w:fill="EAF1DD" w:themeFill="accent3" w:themeFillTint="33"/>
            <w:vAlign w:val="bottom"/>
          </w:tcPr>
          <w:p>
            <w:pPr>
              <w:spacing w:after="0"/>
              <w:jc w:val="center"/>
              <w:rPr>
                <w:rFonts w:ascii="Calibri" w:hAnsi="Calibri" w:cs="Arial"/>
                <w:sz w:val="18"/>
                <w:szCs w:val="18"/>
              </w:rPr>
            </w:pPr>
            <w:r>
              <w:rPr>
                <w:rFonts w:ascii="Calibri" w:hAnsi="Calibri" w:cs="Arial"/>
                <w:sz w:val="18"/>
                <w:szCs w:val="18"/>
              </w:rPr>
              <w:t>33.33%</w:t>
            </w:r>
          </w:p>
        </w:tc>
      </w:tr>
      <w:tr>
        <w:trPr>
          <w:gridBefore w:val="1"/>
          <w:wBefore w:w="34" w:type="dxa"/>
          <w:trHeight w:val="340"/>
        </w:trPr>
        <w:tc>
          <w:tcPr>
            <w:tcW w:w="1417" w:type="dxa"/>
            <w:shd w:val="clear" w:color="auto" w:fill="E5DFEC" w:themeFill="accent4" w:themeFillTint="33"/>
            <w:vAlign w:val="center"/>
            <w:hideMark/>
          </w:tcPr>
          <w:p>
            <w:pPr>
              <w:spacing w:after="0"/>
              <w:rPr>
                <w:sz w:val="18"/>
                <w:szCs w:val="18"/>
              </w:rPr>
            </w:pPr>
            <w:r>
              <w:rPr>
                <w:sz w:val="18"/>
                <w:szCs w:val="18"/>
              </w:rPr>
              <w:t>Kapuas</w:t>
            </w:r>
          </w:p>
        </w:tc>
        <w:tc>
          <w:tcPr>
            <w:tcW w:w="1134"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12</w:t>
            </w:r>
          </w:p>
        </w:tc>
        <w:tc>
          <w:tcPr>
            <w:tcW w:w="1205"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4</w:t>
            </w:r>
          </w:p>
        </w:tc>
        <w:tc>
          <w:tcPr>
            <w:tcW w:w="1063" w:type="dxa"/>
            <w:shd w:val="clear" w:color="auto" w:fill="E5DFEC" w:themeFill="accent4" w:themeFillTint="33"/>
            <w:noWrap/>
            <w:vAlign w:val="bottom"/>
            <w:hideMark/>
          </w:tcPr>
          <w:p>
            <w:pPr>
              <w:spacing w:after="0"/>
              <w:jc w:val="center"/>
              <w:rPr>
                <w:rFonts w:ascii="Calibri" w:hAnsi="Calibri" w:cs="Arial"/>
                <w:sz w:val="18"/>
                <w:szCs w:val="18"/>
              </w:rPr>
            </w:pPr>
            <w:r>
              <w:rPr>
                <w:rFonts w:ascii="Calibri" w:hAnsi="Calibri" w:cs="Arial"/>
                <w:sz w:val="18"/>
                <w:szCs w:val="18"/>
              </w:rPr>
              <w:t>75.00%</w:t>
            </w:r>
          </w:p>
        </w:tc>
        <w:tc>
          <w:tcPr>
            <w:tcW w:w="1276" w:type="dxa"/>
            <w:shd w:val="clear" w:color="auto" w:fill="E5DFEC" w:themeFill="accent4" w:themeFillTint="33"/>
            <w:vAlign w:val="bottom"/>
          </w:tcPr>
          <w:p>
            <w:pPr>
              <w:spacing w:after="0"/>
              <w:jc w:val="center"/>
              <w:rPr>
                <w:rFonts w:ascii="Calibri" w:hAnsi="Calibri" w:cs="Arial"/>
                <w:sz w:val="18"/>
                <w:szCs w:val="18"/>
              </w:rPr>
            </w:pPr>
            <w:r>
              <w:rPr>
                <w:rFonts w:ascii="Calibri" w:hAnsi="Calibri" w:cs="Arial"/>
                <w:sz w:val="18"/>
                <w:szCs w:val="18"/>
              </w:rPr>
              <w:t>25.00%</w:t>
            </w:r>
          </w:p>
        </w:tc>
      </w:tr>
      <w:tr>
        <w:trPr>
          <w:gridBefore w:val="1"/>
          <w:wBefore w:w="34" w:type="dxa"/>
          <w:trHeight w:val="340"/>
        </w:trPr>
        <w:tc>
          <w:tcPr>
            <w:tcW w:w="1417" w:type="dxa"/>
            <w:shd w:val="clear" w:color="auto" w:fill="EAF1DD" w:themeFill="accent3" w:themeFillTint="33"/>
            <w:vAlign w:val="center"/>
            <w:hideMark/>
          </w:tcPr>
          <w:p>
            <w:pPr>
              <w:spacing w:after="0"/>
              <w:rPr>
                <w:sz w:val="18"/>
                <w:szCs w:val="18"/>
              </w:rPr>
            </w:pPr>
            <w:r>
              <w:rPr>
                <w:sz w:val="18"/>
                <w:szCs w:val="18"/>
              </w:rPr>
              <w:t>Barito Selatan</w:t>
            </w:r>
          </w:p>
        </w:tc>
        <w:tc>
          <w:tcPr>
            <w:tcW w:w="1134"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9</w:t>
            </w:r>
          </w:p>
        </w:tc>
        <w:tc>
          <w:tcPr>
            <w:tcW w:w="1205"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1</w:t>
            </w:r>
          </w:p>
        </w:tc>
        <w:tc>
          <w:tcPr>
            <w:tcW w:w="1063" w:type="dxa"/>
            <w:shd w:val="clear" w:color="auto" w:fill="EAF1DD" w:themeFill="accent3" w:themeFillTint="33"/>
            <w:noWrap/>
            <w:vAlign w:val="bottom"/>
            <w:hideMark/>
          </w:tcPr>
          <w:p>
            <w:pPr>
              <w:spacing w:after="0"/>
              <w:jc w:val="center"/>
              <w:rPr>
                <w:rFonts w:ascii="Calibri" w:hAnsi="Calibri" w:cs="Arial"/>
                <w:sz w:val="18"/>
                <w:szCs w:val="18"/>
              </w:rPr>
            </w:pPr>
            <w:r>
              <w:rPr>
                <w:rFonts w:ascii="Calibri" w:hAnsi="Calibri" w:cs="Arial"/>
                <w:sz w:val="18"/>
                <w:szCs w:val="18"/>
              </w:rPr>
              <w:t>90.00%</w:t>
            </w:r>
          </w:p>
        </w:tc>
        <w:tc>
          <w:tcPr>
            <w:tcW w:w="1276" w:type="dxa"/>
            <w:shd w:val="clear" w:color="auto" w:fill="EAF1DD" w:themeFill="accent3" w:themeFillTint="33"/>
            <w:vAlign w:val="bottom"/>
          </w:tcPr>
          <w:p>
            <w:pPr>
              <w:spacing w:after="0"/>
              <w:jc w:val="center"/>
              <w:rPr>
                <w:rFonts w:ascii="Calibri" w:hAnsi="Calibri" w:cs="Arial"/>
                <w:sz w:val="18"/>
                <w:szCs w:val="18"/>
              </w:rPr>
            </w:pPr>
            <w:r>
              <w:rPr>
                <w:rFonts w:ascii="Calibri" w:hAnsi="Calibri" w:cs="Arial"/>
                <w:sz w:val="18"/>
                <w:szCs w:val="18"/>
              </w:rPr>
              <w:t>10.00%</w:t>
            </w:r>
          </w:p>
        </w:tc>
      </w:tr>
      <w:tr>
        <w:trPr>
          <w:gridBefore w:val="1"/>
          <w:wBefore w:w="34" w:type="dxa"/>
          <w:trHeight w:val="340"/>
        </w:trPr>
        <w:tc>
          <w:tcPr>
            <w:tcW w:w="1417" w:type="dxa"/>
            <w:shd w:val="clear" w:color="auto" w:fill="E5DFEC" w:themeFill="accent4" w:themeFillTint="33"/>
            <w:vAlign w:val="center"/>
            <w:hideMark/>
          </w:tcPr>
          <w:p>
            <w:pPr>
              <w:spacing w:after="0"/>
              <w:rPr>
                <w:sz w:val="18"/>
                <w:szCs w:val="18"/>
              </w:rPr>
            </w:pPr>
            <w:r>
              <w:rPr>
                <w:sz w:val="18"/>
                <w:szCs w:val="18"/>
              </w:rPr>
              <w:t>Barito Utara</w:t>
            </w:r>
          </w:p>
        </w:tc>
        <w:tc>
          <w:tcPr>
            <w:tcW w:w="1134"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7</w:t>
            </w:r>
          </w:p>
        </w:tc>
        <w:tc>
          <w:tcPr>
            <w:tcW w:w="1205"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3</w:t>
            </w:r>
          </w:p>
        </w:tc>
        <w:tc>
          <w:tcPr>
            <w:tcW w:w="1063" w:type="dxa"/>
            <w:shd w:val="clear" w:color="auto" w:fill="E5DFEC" w:themeFill="accent4" w:themeFillTint="33"/>
            <w:noWrap/>
            <w:vAlign w:val="bottom"/>
            <w:hideMark/>
          </w:tcPr>
          <w:p>
            <w:pPr>
              <w:spacing w:after="0"/>
              <w:jc w:val="center"/>
              <w:rPr>
                <w:rFonts w:ascii="Calibri" w:hAnsi="Calibri" w:cs="Arial"/>
                <w:sz w:val="18"/>
                <w:szCs w:val="18"/>
              </w:rPr>
            </w:pPr>
            <w:r>
              <w:rPr>
                <w:rFonts w:ascii="Calibri" w:hAnsi="Calibri" w:cs="Arial"/>
                <w:sz w:val="18"/>
                <w:szCs w:val="18"/>
              </w:rPr>
              <w:t>70.00%</w:t>
            </w:r>
          </w:p>
        </w:tc>
        <w:tc>
          <w:tcPr>
            <w:tcW w:w="1276" w:type="dxa"/>
            <w:shd w:val="clear" w:color="auto" w:fill="E5DFEC" w:themeFill="accent4" w:themeFillTint="33"/>
            <w:vAlign w:val="bottom"/>
          </w:tcPr>
          <w:p>
            <w:pPr>
              <w:spacing w:after="0"/>
              <w:jc w:val="center"/>
              <w:rPr>
                <w:rFonts w:ascii="Calibri" w:hAnsi="Calibri" w:cs="Arial"/>
                <w:sz w:val="18"/>
                <w:szCs w:val="18"/>
              </w:rPr>
            </w:pPr>
            <w:r>
              <w:rPr>
                <w:rFonts w:ascii="Calibri" w:hAnsi="Calibri" w:cs="Arial"/>
                <w:sz w:val="18"/>
                <w:szCs w:val="18"/>
              </w:rPr>
              <w:t>30.00%</w:t>
            </w:r>
          </w:p>
        </w:tc>
      </w:tr>
      <w:tr>
        <w:trPr>
          <w:gridBefore w:val="1"/>
          <w:wBefore w:w="34" w:type="dxa"/>
          <w:trHeight w:val="340"/>
        </w:trPr>
        <w:tc>
          <w:tcPr>
            <w:tcW w:w="1417" w:type="dxa"/>
            <w:shd w:val="clear" w:color="auto" w:fill="EAF1DD" w:themeFill="accent3" w:themeFillTint="33"/>
            <w:vAlign w:val="center"/>
            <w:hideMark/>
          </w:tcPr>
          <w:p>
            <w:pPr>
              <w:spacing w:after="0"/>
              <w:rPr>
                <w:sz w:val="18"/>
                <w:szCs w:val="18"/>
              </w:rPr>
            </w:pPr>
            <w:r>
              <w:rPr>
                <w:sz w:val="18"/>
                <w:szCs w:val="18"/>
              </w:rPr>
              <w:t>Sukamara</w:t>
            </w:r>
          </w:p>
        </w:tc>
        <w:tc>
          <w:tcPr>
            <w:tcW w:w="1134"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8</w:t>
            </w:r>
          </w:p>
        </w:tc>
        <w:tc>
          <w:tcPr>
            <w:tcW w:w="1205"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2</w:t>
            </w:r>
          </w:p>
        </w:tc>
        <w:tc>
          <w:tcPr>
            <w:tcW w:w="1063" w:type="dxa"/>
            <w:shd w:val="clear" w:color="auto" w:fill="EAF1DD" w:themeFill="accent3" w:themeFillTint="33"/>
            <w:noWrap/>
            <w:vAlign w:val="bottom"/>
            <w:hideMark/>
          </w:tcPr>
          <w:p>
            <w:pPr>
              <w:spacing w:after="0"/>
              <w:jc w:val="center"/>
              <w:rPr>
                <w:rFonts w:ascii="Calibri" w:hAnsi="Calibri" w:cs="Arial"/>
                <w:sz w:val="18"/>
                <w:szCs w:val="18"/>
              </w:rPr>
            </w:pPr>
            <w:r>
              <w:rPr>
                <w:rFonts w:ascii="Calibri" w:hAnsi="Calibri" w:cs="Arial"/>
                <w:sz w:val="18"/>
                <w:szCs w:val="18"/>
              </w:rPr>
              <w:t>80.00%</w:t>
            </w:r>
          </w:p>
        </w:tc>
        <w:tc>
          <w:tcPr>
            <w:tcW w:w="1276" w:type="dxa"/>
            <w:shd w:val="clear" w:color="auto" w:fill="EAF1DD" w:themeFill="accent3" w:themeFillTint="33"/>
            <w:vAlign w:val="bottom"/>
          </w:tcPr>
          <w:p>
            <w:pPr>
              <w:spacing w:after="0"/>
              <w:jc w:val="center"/>
              <w:rPr>
                <w:rFonts w:ascii="Calibri" w:hAnsi="Calibri" w:cs="Arial"/>
                <w:sz w:val="18"/>
                <w:szCs w:val="18"/>
              </w:rPr>
            </w:pPr>
            <w:r>
              <w:rPr>
                <w:rFonts w:ascii="Calibri" w:hAnsi="Calibri" w:cs="Arial"/>
                <w:sz w:val="18"/>
                <w:szCs w:val="18"/>
              </w:rPr>
              <w:t>20.00%</w:t>
            </w:r>
          </w:p>
        </w:tc>
      </w:tr>
      <w:tr>
        <w:trPr>
          <w:gridBefore w:val="1"/>
          <w:wBefore w:w="34" w:type="dxa"/>
          <w:trHeight w:val="340"/>
        </w:trPr>
        <w:tc>
          <w:tcPr>
            <w:tcW w:w="1417" w:type="dxa"/>
            <w:shd w:val="clear" w:color="auto" w:fill="E5DFEC" w:themeFill="accent4" w:themeFillTint="33"/>
            <w:vAlign w:val="center"/>
            <w:hideMark/>
          </w:tcPr>
          <w:p>
            <w:pPr>
              <w:spacing w:after="0"/>
              <w:rPr>
                <w:sz w:val="18"/>
                <w:szCs w:val="18"/>
              </w:rPr>
            </w:pPr>
            <w:r>
              <w:rPr>
                <w:sz w:val="18"/>
                <w:szCs w:val="18"/>
              </w:rPr>
              <w:t>Lamandau</w:t>
            </w:r>
          </w:p>
        </w:tc>
        <w:tc>
          <w:tcPr>
            <w:tcW w:w="1134"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9</w:t>
            </w:r>
          </w:p>
        </w:tc>
        <w:tc>
          <w:tcPr>
            <w:tcW w:w="1205"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w:t>
            </w:r>
          </w:p>
        </w:tc>
        <w:tc>
          <w:tcPr>
            <w:tcW w:w="1063" w:type="dxa"/>
            <w:shd w:val="clear" w:color="auto" w:fill="E5DFEC" w:themeFill="accent4" w:themeFillTint="33"/>
            <w:noWrap/>
            <w:vAlign w:val="bottom"/>
            <w:hideMark/>
          </w:tcPr>
          <w:p>
            <w:pPr>
              <w:spacing w:after="0"/>
              <w:jc w:val="center"/>
              <w:rPr>
                <w:rFonts w:ascii="Calibri" w:hAnsi="Calibri" w:cs="Arial"/>
                <w:sz w:val="18"/>
                <w:szCs w:val="18"/>
              </w:rPr>
            </w:pPr>
            <w:r>
              <w:rPr>
                <w:rFonts w:ascii="Calibri" w:hAnsi="Calibri" w:cs="Arial"/>
                <w:sz w:val="18"/>
                <w:szCs w:val="18"/>
              </w:rPr>
              <w:t>100.00%</w:t>
            </w:r>
          </w:p>
        </w:tc>
        <w:tc>
          <w:tcPr>
            <w:tcW w:w="1276" w:type="dxa"/>
            <w:shd w:val="clear" w:color="auto" w:fill="E5DFEC" w:themeFill="accent4" w:themeFillTint="33"/>
            <w:vAlign w:val="bottom"/>
          </w:tcPr>
          <w:p>
            <w:pPr>
              <w:spacing w:after="0"/>
              <w:jc w:val="center"/>
              <w:rPr>
                <w:rFonts w:ascii="Calibri" w:hAnsi="Calibri" w:cs="Arial"/>
                <w:sz w:val="18"/>
                <w:szCs w:val="18"/>
              </w:rPr>
            </w:pPr>
            <w:r>
              <w:rPr>
                <w:rFonts w:ascii="Calibri" w:hAnsi="Calibri" w:cs="Arial"/>
                <w:sz w:val="18"/>
                <w:szCs w:val="18"/>
              </w:rPr>
              <w:t>0.00%</w:t>
            </w:r>
          </w:p>
        </w:tc>
      </w:tr>
      <w:tr>
        <w:trPr>
          <w:gridBefore w:val="1"/>
          <w:wBefore w:w="34" w:type="dxa"/>
          <w:trHeight w:val="340"/>
        </w:trPr>
        <w:tc>
          <w:tcPr>
            <w:tcW w:w="1417" w:type="dxa"/>
            <w:shd w:val="clear" w:color="auto" w:fill="EAF1DD" w:themeFill="accent3" w:themeFillTint="33"/>
            <w:vAlign w:val="center"/>
            <w:hideMark/>
          </w:tcPr>
          <w:p>
            <w:pPr>
              <w:spacing w:after="0"/>
              <w:rPr>
                <w:sz w:val="18"/>
                <w:szCs w:val="18"/>
              </w:rPr>
            </w:pPr>
            <w:r>
              <w:rPr>
                <w:sz w:val="18"/>
                <w:szCs w:val="18"/>
              </w:rPr>
              <w:t>Seruyan</w:t>
            </w:r>
          </w:p>
        </w:tc>
        <w:tc>
          <w:tcPr>
            <w:tcW w:w="1134"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8</w:t>
            </w:r>
          </w:p>
        </w:tc>
        <w:tc>
          <w:tcPr>
            <w:tcW w:w="1205"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1</w:t>
            </w:r>
          </w:p>
        </w:tc>
        <w:tc>
          <w:tcPr>
            <w:tcW w:w="1063" w:type="dxa"/>
            <w:shd w:val="clear" w:color="auto" w:fill="EAF1DD" w:themeFill="accent3" w:themeFillTint="33"/>
            <w:noWrap/>
            <w:vAlign w:val="bottom"/>
            <w:hideMark/>
          </w:tcPr>
          <w:p>
            <w:pPr>
              <w:spacing w:after="0"/>
              <w:jc w:val="center"/>
              <w:rPr>
                <w:rFonts w:ascii="Calibri" w:hAnsi="Calibri" w:cs="Arial"/>
                <w:sz w:val="18"/>
                <w:szCs w:val="18"/>
              </w:rPr>
            </w:pPr>
            <w:r>
              <w:rPr>
                <w:rFonts w:ascii="Calibri" w:hAnsi="Calibri" w:cs="Arial"/>
                <w:sz w:val="18"/>
                <w:szCs w:val="18"/>
              </w:rPr>
              <w:t>88.89%</w:t>
            </w:r>
          </w:p>
        </w:tc>
        <w:tc>
          <w:tcPr>
            <w:tcW w:w="1276" w:type="dxa"/>
            <w:shd w:val="clear" w:color="auto" w:fill="EAF1DD" w:themeFill="accent3" w:themeFillTint="33"/>
            <w:vAlign w:val="bottom"/>
          </w:tcPr>
          <w:p>
            <w:pPr>
              <w:spacing w:after="0"/>
              <w:jc w:val="center"/>
              <w:rPr>
                <w:rFonts w:ascii="Calibri" w:hAnsi="Calibri" w:cs="Arial"/>
                <w:sz w:val="18"/>
                <w:szCs w:val="18"/>
              </w:rPr>
            </w:pPr>
            <w:r>
              <w:rPr>
                <w:rFonts w:ascii="Calibri" w:hAnsi="Calibri" w:cs="Arial"/>
                <w:sz w:val="18"/>
                <w:szCs w:val="18"/>
              </w:rPr>
              <w:t>11.11%</w:t>
            </w:r>
          </w:p>
        </w:tc>
      </w:tr>
      <w:tr>
        <w:trPr>
          <w:gridBefore w:val="1"/>
          <w:wBefore w:w="34" w:type="dxa"/>
          <w:trHeight w:val="340"/>
        </w:trPr>
        <w:tc>
          <w:tcPr>
            <w:tcW w:w="1417" w:type="dxa"/>
            <w:shd w:val="clear" w:color="auto" w:fill="E5DFEC" w:themeFill="accent4" w:themeFillTint="33"/>
            <w:vAlign w:val="center"/>
            <w:hideMark/>
          </w:tcPr>
          <w:p>
            <w:pPr>
              <w:spacing w:after="0"/>
              <w:rPr>
                <w:sz w:val="18"/>
                <w:szCs w:val="18"/>
              </w:rPr>
            </w:pPr>
            <w:r>
              <w:rPr>
                <w:sz w:val="18"/>
                <w:szCs w:val="18"/>
              </w:rPr>
              <w:t>Katingan</w:t>
            </w:r>
          </w:p>
        </w:tc>
        <w:tc>
          <w:tcPr>
            <w:tcW w:w="1134"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9</w:t>
            </w:r>
          </w:p>
        </w:tc>
        <w:tc>
          <w:tcPr>
            <w:tcW w:w="1205"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4</w:t>
            </w:r>
          </w:p>
        </w:tc>
        <w:tc>
          <w:tcPr>
            <w:tcW w:w="1063" w:type="dxa"/>
            <w:shd w:val="clear" w:color="auto" w:fill="E5DFEC" w:themeFill="accent4" w:themeFillTint="33"/>
            <w:noWrap/>
            <w:vAlign w:val="bottom"/>
            <w:hideMark/>
          </w:tcPr>
          <w:p>
            <w:pPr>
              <w:spacing w:after="0"/>
              <w:jc w:val="center"/>
              <w:rPr>
                <w:rFonts w:ascii="Calibri" w:hAnsi="Calibri" w:cs="Arial"/>
                <w:sz w:val="18"/>
                <w:szCs w:val="18"/>
              </w:rPr>
            </w:pPr>
            <w:r>
              <w:rPr>
                <w:rFonts w:ascii="Calibri" w:hAnsi="Calibri" w:cs="Arial"/>
                <w:sz w:val="18"/>
                <w:szCs w:val="18"/>
              </w:rPr>
              <w:t>69.23%</w:t>
            </w:r>
          </w:p>
        </w:tc>
        <w:tc>
          <w:tcPr>
            <w:tcW w:w="1276" w:type="dxa"/>
            <w:shd w:val="clear" w:color="auto" w:fill="E5DFEC" w:themeFill="accent4" w:themeFillTint="33"/>
            <w:vAlign w:val="bottom"/>
          </w:tcPr>
          <w:p>
            <w:pPr>
              <w:spacing w:after="0"/>
              <w:jc w:val="center"/>
              <w:rPr>
                <w:rFonts w:ascii="Calibri" w:hAnsi="Calibri" w:cs="Arial"/>
                <w:sz w:val="18"/>
                <w:szCs w:val="18"/>
              </w:rPr>
            </w:pPr>
            <w:r>
              <w:rPr>
                <w:rFonts w:ascii="Calibri" w:hAnsi="Calibri" w:cs="Arial"/>
                <w:sz w:val="18"/>
                <w:szCs w:val="18"/>
              </w:rPr>
              <w:t>30.77%</w:t>
            </w:r>
          </w:p>
        </w:tc>
      </w:tr>
      <w:tr>
        <w:trPr>
          <w:gridBefore w:val="1"/>
          <w:wBefore w:w="34" w:type="dxa"/>
          <w:trHeight w:val="340"/>
        </w:trPr>
        <w:tc>
          <w:tcPr>
            <w:tcW w:w="1417" w:type="dxa"/>
            <w:shd w:val="clear" w:color="auto" w:fill="EAF1DD" w:themeFill="accent3" w:themeFillTint="33"/>
            <w:vAlign w:val="center"/>
            <w:hideMark/>
          </w:tcPr>
          <w:p>
            <w:pPr>
              <w:spacing w:after="0"/>
              <w:rPr>
                <w:sz w:val="18"/>
                <w:szCs w:val="18"/>
              </w:rPr>
            </w:pPr>
            <w:r>
              <w:rPr>
                <w:sz w:val="18"/>
                <w:szCs w:val="18"/>
              </w:rPr>
              <w:t>Pulang Pisau</w:t>
            </w:r>
          </w:p>
        </w:tc>
        <w:tc>
          <w:tcPr>
            <w:tcW w:w="1134"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7</w:t>
            </w:r>
          </w:p>
        </w:tc>
        <w:tc>
          <w:tcPr>
            <w:tcW w:w="1205"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4</w:t>
            </w:r>
          </w:p>
        </w:tc>
        <w:tc>
          <w:tcPr>
            <w:tcW w:w="1063" w:type="dxa"/>
            <w:shd w:val="clear" w:color="auto" w:fill="EAF1DD" w:themeFill="accent3" w:themeFillTint="33"/>
            <w:noWrap/>
            <w:vAlign w:val="bottom"/>
            <w:hideMark/>
          </w:tcPr>
          <w:p>
            <w:pPr>
              <w:spacing w:after="0"/>
              <w:jc w:val="center"/>
              <w:rPr>
                <w:rFonts w:ascii="Calibri" w:hAnsi="Calibri" w:cs="Arial"/>
                <w:sz w:val="18"/>
                <w:szCs w:val="18"/>
              </w:rPr>
            </w:pPr>
            <w:r>
              <w:rPr>
                <w:rFonts w:ascii="Calibri" w:hAnsi="Calibri" w:cs="Arial"/>
                <w:sz w:val="18"/>
                <w:szCs w:val="18"/>
              </w:rPr>
              <w:t>63.64%</w:t>
            </w:r>
          </w:p>
        </w:tc>
        <w:tc>
          <w:tcPr>
            <w:tcW w:w="1276" w:type="dxa"/>
            <w:shd w:val="clear" w:color="auto" w:fill="EAF1DD" w:themeFill="accent3" w:themeFillTint="33"/>
            <w:vAlign w:val="bottom"/>
          </w:tcPr>
          <w:p>
            <w:pPr>
              <w:spacing w:after="0"/>
              <w:jc w:val="center"/>
              <w:rPr>
                <w:rFonts w:ascii="Calibri" w:hAnsi="Calibri" w:cs="Arial"/>
                <w:sz w:val="18"/>
                <w:szCs w:val="18"/>
              </w:rPr>
            </w:pPr>
            <w:r>
              <w:rPr>
                <w:rFonts w:ascii="Calibri" w:hAnsi="Calibri" w:cs="Arial"/>
                <w:sz w:val="18"/>
                <w:szCs w:val="18"/>
              </w:rPr>
              <w:t>36.36%</w:t>
            </w:r>
          </w:p>
        </w:tc>
      </w:tr>
      <w:tr>
        <w:trPr>
          <w:gridBefore w:val="1"/>
          <w:wBefore w:w="34" w:type="dxa"/>
          <w:trHeight w:val="340"/>
        </w:trPr>
        <w:tc>
          <w:tcPr>
            <w:tcW w:w="1417" w:type="dxa"/>
            <w:shd w:val="clear" w:color="auto" w:fill="E5DFEC" w:themeFill="accent4" w:themeFillTint="33"/>
            <w:vAlign w:val="center"/>
            <w:hideMark/>
          </w:tcPr>
          <w:p>
            <w:pPr>
              <w:spacing w:after="0"/>
              <w:rPr>
                <w:sz w:val="18"/>
                <w:szCs w:val="18"/>
              </w:rPr>
            </w:pPr>
            <w:r>
              <w:rPr>
                <w:sz w:val="18"/>
                <w:szCs w:val="18"/>
              </w:rPr>
              <w:t>Gunung Mas</w:t>
            </w:r>
          </w:p>
        </w:tc>
        <w:tc>
          <w:tcPr>
            <w:tcW w:w="1134"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9</w:t>
            </w:r>
          </w:p>
        </w:tc>
        <w:tc>
          <w:tcPr>
            <w:tcW w:w="1205"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w:t>
            </w:r>
          </w:p>
        </w:tc>
        <w:tc>
          <w:tcPr>
            <w:tcW w:w="1063" w:type="dxa"/>
            <w:shd w:val="clear" w:color="auto" w:fill="E5DFEC" w:themeFill="accent4" w:themeFillTint="33"/>
            <w:noWrap/>
            <w:vAlign w:val="bottom"/>
            <w:hideMark/>
          </w:tcPr>
          <w:p>
            <w:pPr>
              <w:spacing w:after="0"/>
              <w:jc w:val="center"/>
              <w:rPr>
                <w:rFonts w:ascii="Calibri" w:hAnsi="Calibri" w:cs="Arial"/>
                <w:sz w:val="18"/>
                <w:szCs w:val="18"/>
              </w:rPr>
            </w:pPr>
            <w:r>
              <w:rPr>
                <w:rFonts w:ascii="Calibri" w:hAnsi="Calibri" w:cs="Arial"/>
                <w:sz w:val="18"/>
                <w:szCs w:val="18"/>
              </w:rPr>
              <w:t>100.00%</w:t>
            </w:r>
          </w:p>
        </w:tc>
        <w:tc>
          <w:tcPr>
            <w:tcW w:w="1276" w:type="dxa"/>
            <w:shd w:val="clear" w:color="auto" w:fill="E5DFEC" w:themeFill="accent4" w:themeFillTint="33"/>
            <w:vAlign w:val="bottom"/>
          </w:tcPr>
          <w:p>
            <w:pPr>
              <w:spacing w:after="0"/>
              <w:jc w:val="center"/>
              <w:rPr>
                <w:rFonts w:ascii="Calibri" w:hAnsi="Calibri" w:cs="Arial"/>
                <w:sz w:val="18"/>
                <w:szCs w:val="18"/>
              </w:rPr>
            </w:pPr>
            <w:r>
              <w:rPr>
                <w:rFonts w:ascii="Calibri" w:hAnsi="Calibri" w:cs="Arial"/>
                <w:sz w:val="18"/>
                <w:szCs w:val="18"/>
              </w:rPr>
              <w:t>0.00%</w:t>
            </w:r>
          </w:p>
        </w:tc>
      </w:tr>
      <w:tr>
        <w:trPr>
          <w:gridBefore w:val="1"/>
          <w:wBefore w:w="34" w:type="dxa"/>
          <w:trHeight w:val="340"/>
        </w:trPr>
        <w:tc>
          <w:tcPr>
            <w:tcW w:w="1417" w:type="dxa"/>
            <w:shd w:val="clear" w:color="auto" w:fill="EAF1DD" w:themeFill="accent3" w:themeFillTint="33"/>
            <w:vAlign w:val="center"/>
            <w:hideMark/>
          </w:tcPr>
          <w:p>
            <w:pPr>
              <w:spacing w:after="0"/>
              <w:rPr>
                <w:sz w:val="18"/>
                <w:szCs w:val="18"/>
              </w:rPr>
            </w:pPr>
            <w:r>
              <w:rPr>
                <w:sz w:val="18"/>
                <w:szCs w:val="18"/>
              </w:rPr>
              <w:t>Barito Timur</w:t>
            </w:r>
          </w:p>
        </w:tc>
        <w:tc>
          <w:tcPr>
            <w:tcW w:w="1134"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7</w:t>
            </w:r>
          </w:p>
        </w:tc>
        <w:tc>
          <w:tcPr>
            <w:tcW w:w="1205"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w:t>
            </w:r>
          </w:p>
        </w:tc>
        <w:tc>
          <w:tcPr>
            <w:tcW w:w="1063" w:type="dxa"/>
            <w:shd w:val="clear" w:color="auto" w:fill="EAF1DD" w:themeFill="accent3" w:themeFillTint="33"/>
            <w:noWrap/>
            <w:vAlign w:val="bottom"/>
            <w:hideMark/>
          </w:tcPr>
          <w:p>
            <w:pPr>
              <w:spacing w:after="0"/>
              <w:jc w:val="center"/>
              <w:rPr>
                <w:rFonts w:ascii="Calibri" w:hAnsi="Calibri" w:cs="Arial"/>
                <w:sz w:val="18"/>
                <w:szCs w:val="18"/>
              </w:rPr>
            </w:pPr>
            <w:r>
              <w:rPr>
                <w:rFonts w:ascii="Calibri" w:hAnsi="Calibri" w:cs="Arial"/>
                <w:sz w:val="18"/>
                <w:szCs w:val="18"/>
              </w:rPr>
              <w:t>100.00%</w:t>
            </w:r>
          </w:p>
        </w:tc>
        <w:tc>
          <w:tcPr>
            <w:tcW w:w="1276" w:type="dxa"/>
            <w:shd w:val="clear" w:color="auto" w:fill="EAF1DD" w:themeFill="accent3" w:themeFillTint="33"/>
            <w:vAlign w:val="bottom"/>
          </w:tcPr>
          <w:p>
            <w:pPr>
              <w:spacing w:after="0"/>
              <w:jc w:val="center"/>
              <w:rPr>
                <w:rFonts w:ascii="Calibri" w:hAnsi="Calibri" w:cs="Arial"/>
                <w:sz w:val="18"/>
                <w:szCs w:val="18"/>
              </w:rPr>
            </w:pPr>
            <w:r>
              <w:rPr>
                <w:rFonts w:ascii="Calibri" w:hAnsi="Calibri" w:cs="Arial"/>
                <w:sz w:val="18"/>
                <w:szCs w:val="18"/>
              </w:rPr>
              <w:t>0.00%</w:t>
            </w:r>
          </w:p>
        </w:tc>
      </w:tr>
      <w:tr>
        <w:trPr>
          <w:gridBefore w:val="1"/>
          <w:wBefore w:w="34" w:type="dxa"/>
          <w:trHeight w:val="340"/>
        </w:trPr>
        <w:tc>
          <w:tcPr>
            <w:tcW w:w="1417" w:type="dxa"/>
            <w:shd w:val="clear" w:color="auto" w:fill="E5DFEC" w:themeFill="accent4" w:themeFillTint="33"/>
            <w:vAlign w:val="center"/>
            <w:hideMark/>
          </w:tcPr>
          <w:p>
            <w:pPr>
              <w:spacing w:after="0"/>
              <w:rPr>
                <w:sz w:val="18"/>
                <w:szCs w:val="18"/>
              </w:rPr>
            </w:pPr>
            <w:r>
              <w:rPr>
                <w:sz w:val="18"/>
                <w:szCs w:val="18"/>
              </w:rPr>
              <w:t>Murung Raya</w:t>
            </w:r>
          </w:p>
        </w:tc>
        <w:tc>
          <w:tcPr>
            <w:tcW w:w="1134"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8</w:t>
            </w:r>
          </w:p>
        </w:tc>
        <w:tc>
          <w:tcPr>
            <w:tcW w:w="1205" w:type="dxa"/>
            <w:shd w:val="clear" w:color="auto" w:fill="E5DFEC" w:themeFill="accent4" w:themeFillTint="33"/>
            <w:vAlign w:val="center"/>
            <w:hideMark/>
          </w:tcPr>
          <w:p>
            <w:pPr>
              <w:spacing w:after="0"/>
              <w:jc w:val="center"/>
              <w:rPr>
                <w:rFonts w:ascii="Calibri" w:hAnsi="Calibri" w:cs="Calibri"/>
                <w:sz w:val="18"/>
                <w:szCs w:val="18"/>
              </w:rPr>
            </w:pPr>
            <w:r>
              <w:rPr>
                <w:rFonts w:ascii="Calibri" w:hAnsi="Calibri" w:cs="Calibri"/>
                <w:sz w:val="18"/>
                <w:szCs w:val="18"/>
              </w:rPr>
              <w:t>-</w:t>
            </w:r>
          </w:p>
        </w:tc>
        <w:tc>
          <w:tcPr>
            <w:tcW w:w="1063" w:type="dxa"/>
            <w:shd w:val="clear" w:color="auto" w:fill="E5DFEC" w:themeFill="accent4" w:themeFillTint="33"/>
            <w:noWrap/>
            <w:vAlign w:val="bottom"/>
            <w:hideMark/>
          </w:tcPr>
          <w:p>
            <w:pPr>
              <w:spacing w:after="0"/>
              <w:jc w:val="center"/>
              <w:rPr>
                <w:rFonts w:ascii="Calibri" w:hAnsi="Calibri" w:cs="Arial"/>
                <w:sz w:val="18"/>
                <w:szCs w:val="18"/>
              </w:rPr>
            </w:pPr>
            <w:r>
              <w:rPr>
                <w:rFonts w:ascii="Calibri" w:hAnsi="Calibri" w:cs="Arial"/>
                <w:sz w:val="18"/>
                <w:szCs w:val="18"/>
              </w:rPr>
              <w:t>100.00%</w:t>
            </w:r>
          </w:p>
        </w:tc>
        <w:tc>
          <w:tcPr>
            <w:tcW w:w="1276" w:type="dxa"/>
            <w:shd w:val="clear" w:color="auto" w:fill="E5DFEC" w:themeFill="accent4" w:themeFillTint="33"/>
            <w:vAlign w:val="bottom"/>
          </w:tcPr>
          <w:p>
            <w:pPr>
              <w:spacing w:after="0"/>
              <w:jc w:val="center"/>
              <w:rPr>
                <w:rFonts w:ascii="Calibri" w:hAnsi="Calibri" w:cs="Arial"/>
                <w:sz w:val="18"/>
                <w:szCs w:val="18"/>
              </w:rPr>
            </w:pPr>
            <w:r>
              <w:rPr>
                <w:rFonts w:ascii="Calibri" w:hAnsi="Calibri" w:cs="Arial"/>
                <w:sz w:val="18"/>
                <w:szCs w:val="18"/>
              </w:rPr>
              <w:t>0.00%</w:t>
            </w:r>
          </w:p>
        </w:tc>
      </w:tr>
      <w:tr>
        <w:trPr>
          <w:gridBefore w:val="1"/>
          <w:wBefore w:w="34" w:type="dxa"/>
          <w:trHeight w:val="340"/>
        </w:trPr>
        <w:tc>
          <w:tcPr>
            <w:tcW w:w="1417" w:type="dxa"/>
            <w:shd w:val="clear" w:color="auto" w:fill="EAF1DD" w:themeFill="accent3" w:themeFillTint="33"/>
            <w:vAlign w:val="center"/>
            <w:hideMark/>
          </w:tcPr>
          <w:p>
            <w:pPr>
              <w:spacing w:after="0"/>
              <w:rPr>
                <w:sz w:val="18"/>
                <w:szCs w:val="18"/>
              </w:rPr>
            </w:pPr>
            <w:r>
              <w:rPr>
                <w:sz w:val="18"/>
                <w:szCs w:val="18"/>
              </w:rPr>
              <w:t>Palangka Raya</w:t>
            </w:r>
          </w:p>
        </w:tc>
        <w:tc>
          <w:tcPr>
            <w:tcW w:w="1134"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8</w:t>
            </w:r>
          </w:p>
        </w:tc>
        <w:tc>
          <w:tcPr>
            <w:tcW w:w="1205" w:type="dxa"/>
            <w:shd w:val="clear" w:color="auto" w:fill="EAF1DD" w:themeFill="accent3" w:themeFillTint="33"/>
            <w:vAlign w:val="center"/>
            <w:hideMark/>
          </w:tcPr>
          <w:p>
            <w:pPr>
              <w:spacing w:after="0"/>
              <w:jc w:val="center"/>
              <w:rPr>
                <w:rFonts w:ascii="Calibri" w:hAnsi="Calibri" w:cs="Calibri"/>
                <w:sz w:val="18"/>
                <w:szCs w:val="18"/>
              </w:rPr>
            </w:pPr>
            <w:r>
              <w:rPr>
                <w:rFonts w:ascii="Calibri" w:hAnsi="Calibri" w:cs="Calibri"/>
                <w:sz w:val="18"/>
                <w:szCs w:val="18"/>
              </w:rPr>
              <w:t>7</w:t>
            </w:r>
          </w:p>
        </w:tc>
        <w:tc>
          <w:tcPr>
            <w:tcW w:w="1063" w:type="dxa"/>
            <w:shd w:val="clear" w:color="auto" w:fill="EAF1DD" w:themeFill="accent3" w:themeFillTint="33"/>
            <w:noWrap/>
            <w:vAlign w:val="bottom"/>
            <w:hideMark/>
          </w:tcPr>
          <w:p>
            <w:pPr>
              <w:spacing w:after="0"/>
              <w:jc w:val="center"/>
              <w:rPr>
                <w:rFonts w:ascii="Calibri" w:hAnsi="Calibri" w:cs="Arial"/>
                <w:sz w:val="18"/>
                <w:szCs w:val="18"/>
              </w:rPr>
            </w:pPr>
            <w:r>
              <w:rPr>
                <w:rFonts w:ascii="Calibri" w:hAnsi="Calibri" w:cs="Arial"/>
                <w:sz w:val="18"/>
                <w:szCs w:val="18"/>
              </w:rPr>
              <w:t>53.33%</w:t>
            </w:r>
          </w:p>
        </w:tc>
        <w:tc>
          <w:tcPr>
            <w:tcW w:w="1276" w:type="dxa"/>
            <w:shd w:val="clear" w:color="auto" w:fill="EAF1DD" w:themeFill="accent3" w:themeFillTint="33"/>
            <w:vAlign w:val="bottom"/>
          </w:tcPr>
          <w:p>
            <w:pPr>
              <w:spacing w:after="0"/>
              <w:jc w:val="center"/>
              <w:rPr>
                <w:rFonts w:ascii="Calibri" w:hAnsi="Calibri" w:cs="Arial"/>
                <w:sz w:val="18"/>
                <w:szCs w:val="18"/>
              </w:rPr>
            </w:pPr>
            <w:r>
              <w:rPr>
                <w:rFonts w:ascii="Calibri" w:hAnsi="Calibri" w:cs="Arial"/>
                <w:sz w:val="18"/>
                <w:szCs w:val="18"/>
              </w:rPr>
              <w:t>46.67%</w:t>
            </w:r>
          </w:p>
        </w:tc>
      </w:tr>
    </w:tbl>
    <w:p>
      <w:pPr>
        <w:pStyle w:val="Title"/>
        <w:ind w:left="567"/>
        <w:jc w:val="both"/>
        <w:rPr>
          <w:rFonts w:cs="Arial Narrow"/>
          <w:b w:val="0"/>
          <w:i/>
          <w:sz w:val="18"/>
          <w:szCs w:val="18"/>
          <w:lang w:val="id-ID"/>
        </w:rPr>
      </w:pPr>
      <w:r>
        <w:rPr>
          <w:rFonts w:cs="Arial Narrow"/>
          <w:b w:val="0"/>
          <w:i/>
          <w:sz w:val="18"/>
          <w:szCs w:val="18"/>
          <w:lang w:val="id-ID"/>
        </w:rPr>
        <w:t>Sumber: Kejaksaan Tinggi Kalimantan Tengah</w:t>
      </w:r>
    </w:p>
    <w:p/>
    <w:p/>
    <w:p/>
    <w:p>
      <w:pPr>
        <w:pStyle w:val="Caption"/>
        <w:ind w:left="1418" w:hanging="1134"/>
        <w:rPr>
          <w:lang w:val="en-US"/>
        </w:rPr>
      </w:pPr>
      <w:bookmarkStart w:id="99" w:name="_Toc117550294"/>
      <w:r>
        <w:rPr>
          <w:b/>
          <w:bCs/>
          <w:i w:val="0"/>
          <w:iCs w:val="0"/>
          <w:color w:val="000000" w:themeColor="text1"/>
          <w:sz w:val="20"/>
          <w:szCs w:val="20"/>
        </w:rPr>
        <w:t xml:space="preserve">Tabel 6. </w:t>
      </w:r>
      <w:r>
        <w:rPr>
          <w:b/>
          <w:bCs/>
          <w:i w:val="0"/>
          <w:iCs w:val="0"/>
          <w:color w:val="000000" w:themeColor="text1"/>
          <w:sz w:val="20"/>
          <w:szCs w:val="20"/>
        </w:rPr>
        <w:fldChar w:fldCharType="begin"/>
      </w:r>
      <w:r>
        <w:rPr>
          <w:b/>
          <w:bCs/>
          <w:i w:val="0"/>
          <w:iCs w:val="0"/>
          <w:color w:val="000000" w:themeColor="text1"/>
          <w:sz w:val="20"/>
          <w:szCs w:val="20"/>
        </w:rPr>
        <w:instrText xml:space="preserve"> SEQ Tabel_6. \* ARABIC </w:instrText>
      </w:r>
      <w:r>
        <w:rPr>
          <w:b/>
          <w:bCs/>
          <w:i w:val="0"/>
          <w:iCs w:val="0"/>
          <w:color w:val="000000" w:themeColor="text1"/>
          <w:sz w:val="20"/>
          <w:szCs w:val="20"/>
        </w:rPr>
        <w:fldChar w:fldCharType="separate"/>
      </w:r>
      <w:r>
        <w:rPr>
          <w:b/>
          <w:bCs/>
          <w:i w:val="0"/>
          <w:iCs w:val="0"/>
          <w:noProof/>
          <w:color w:val="000000" w:themeColor="text1"/>
          <w:sz w:val="20"/>
          <w:szCs w:val="20"/>
        </w:rPr>
        <w:t>3</w:t>
      </w:r>
      <w:r>
        <w:rPr>
          <w:b/>
          <w:bCs/>
          <w:i w:val="0"/>
          <w:iCs w:val="0"/>
          <w:color w:val="000000" w:themeColor="text1"/>
          <w:sz w:val="20"/>
          <w:szCs w:val="20"/>
        </w:rPr>
        <w:fldChar w:fldCharType="end"/>
      </w:r>
      <w:r>
        <w:rPr>
          <w:b/>
          <w:bCs/>
          <w:i w:val="0"/>
          <w:iCs w:val="0"/>
          <w:color w:val="FF0000"/>
          <w:sz w:val="20"/>
          <w:szCs w:val="20"/>
        </w:rPr>
        <w:tab/>
      </w:r>
      <w:bookmarkEnd w:id="99"/>
      <w:r>
        <w:rPr>
          <w:b/>
          <w:bCs/>
          <w:i w:val="0"/>
          <w:iCs w:val="0"/>
          <w:color w:val="000000" w:themeColor="text1"/>
          <w:sz w:val="20"/>
          <w:szCs w:val="20"/>
        </w:rPr>
        <w:t>Jumlah dan Persentase Polisi Menurut Kabupaten/Kota dan Jenis Kelamin, 20</w:t>
      </w:r>
      <w:r>
        <w:rPr>
          <w:b/>
          <w:bCs/>
          <w:i w:val="0"/>
          <w:iCs w:val="0"/>
          <w:color w:val="000000" w:themeColor="text1"/>
          <w:sz w:val="20"/>
          <w:szCs w:val="20"/>
          <w:lang w:val="en-US"/>
        </w:rPr>
        <w:t>21</w:t>
      </w:r>
    </w:p>
    <w:tbl>
      <w:tblPr>
        <w:tblpPr w:leftFromText="180" w:rightFromText="180" w:vertAnchor="text" w:tblpX="392" w:tblpY="1"/>
        <w:tblOverlap w:val="never"/>
        <w:tblW w:w="62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9"/>
        <w:gridCol w:w="1134"/>
        <w:gridCol w:w="1205"/>
        <w:gridCol w:w="1063"/>
        <w:gridCol w:w="1276"/>
      </w:tblGrid>
      <w:tr>
        <w:trPr>
          <w:trHeight w:val="340"/>
        </w:trPr>
        <w:tc>
          <w:tcPr>
            <w:tcW w:w="1559" w:type="dxa"/>
            <w:vMerge w:val="restart"/>
            <w:shd w:val="clear" w:color="auto" w:fill="38003D"/>
            <w:vAlign w:val="center"/>
            <w:hideMark/>
          </w:tcPr>
          <w:p>
            <w:pPr>
              <w:spacing w:after="0"/>
              <w:jc w:val="center"/>
              <w:rPr>
                <w:rFonts w:cstheme="minorHAnsi"/>
                <w:b/>
                <w:bCs/>
                <w:sz w:val="18"/>
                <w:szCs w:val="18"/>
              </w:rPr>
            </w:pPr>
            <w:r>
              <w:rPr>
                <w:rFonts w:cstheme="minorHAnsi"/>
                <w:b/>
                <w:bCs/>
                <w:sz w:val="18"/>
                <w:szCs w:val="18"/>
              </w:rPr>
              <w:t>Kabupaten/Kota</w:t>
            </w:r>
          </w:p>
        </w:tc>
        <w:tc>
          <w:tcPr>
            <w:tcW w:w="2339" w:type="dxa"/>
            <w:gridSpan w:val="2"/>
            <w:shd w:val="clear" w:color="auto" w:fill="38003D"/>
            <w:vAlign w:val="center"/>
            <w:hideMark/>
          </w:tcPr>
          <w:p>
            <w:pPr>
              <w:spacing w:after="0"/>
              <w:jc w:val="center"/>
              <w:rPr>
                <w:rFonts w:cstheme="minorHAnsi"/>
                <w:b/>
                <w:bCs/>
                <w:sz w:val="18"/>
                <w:szCs w:val="18"/>
              </w:rPr>
            </w:pPr>
            <w:r>
              <w:rPr>
                <w:rFonts w:cstheme="minorHAnsi"/>
                <w:b/>
                <w:bCs/>
                <w:sz w:val="18"/>
                <w:szCs w:val="18"/>
              </w:rPr>
              <w:t>Jumlah</w:t>
            </w:r>
          </w:p>
        </w:tc>
        <w:tc>
          <w:tcPr>
            <w:tcW w:w="2339" w:type="dxa"/>
            <w:gridSpan w:val="2"/>
            <w:shd w:val="clear" w:color="auto" w:fill="38003D"/>
            <w:vAlign w:val="center"/>
          </w:tcPr>
          <w:p>
            <w:pPr>
              <w:spacing w:after="0"/>
              <w:jc w:val="center"/>
              <w:rPr>
                <w:rFonts w:cstheme="minorHAnsi"/>
                <w:b/>
                <w:bCs/>
                <w:sz w:val="18"/>
                <w:szCs w:val="18"/>
              </w:rPr>
            </w:pPr>
            <w:r>
              <w:rPr>
                <w:rFonts w:cstheme="minorHAnsi"/>
                <w:b/>
                <w:bCs/>
                <w:sz w:val="18"/>
                <w:szCs w:val="18"/>
              </w:rPr>
              <w:t>Persentase (%)</w:t>
            </w:r>
          </w:p>
        </w:tc>
      </w:tr>
      <w:tr>
        <w:trPr>
          <w:trHeight w:val="340"/>
        </w:trPr>
        <w:tc>
          <w:tcPr>
            <w:tcW w:w="1559" w:type="dxa"/>
            <w:vMerge/>
            <w:shd w:val="clear" w:color="auto" w:fill="38003D"/>
            <w:vAlign w:val="center"/>
            <w:hideMark/>
          </w:tcPr>
          <w:p>
            <w:pPr>
              <w:spacing w:after="0"/>
              <w:rPr>
                <w:rFonts w:cstheme="minorHAnsi"/>
                <w:b/>
                <w:bCs/>
                <w:sz w:val="18"/>
                <w:szCs w:val="18"/>
              </w:rPr>
            </w:pPr>
          </w:p>
        </w:tc>
        <w:tc>
          <w:tcPr>
            <w:tcW w:w="1134" w:type="dxa"/>
            <w:shd w:val="clear" w:color="auto" w:fill="38003D"/>
            <w:vAlign w:val="center"/>
            <w:hideMark/>
          </w:tcPr>
          <w:p>
            <w:pPr>
              <w:spacing w:after="0"/>
              <w:jc w:val="center"/>
              <w:rPr>
                <w:rFonts w:cstheme="minorHAnsi"/>
                <w:b/>
                <w:bCs/>
                <w:sz w:val="18"/>
                <w:szCs w:val="18"/>
              </w:rPr>
            </w:pPr>
            <w:r>
              <w:rPr>
                <w:rFonts w:cstheme="minorHAnsi"/>
                <w:b/>
                <w:bCs/>
                <w:sz w:val="18"/>
                <w:szCs w:val="18"/>
              </w:rPr>
              <w:t>Laki-laki</w:t>
            </w:r>
          </w:p>
        </w:tc>
        <w:tc>
          <w:tcPr>
            <w:tcW w:w="1205" w:type="dxa"/>
            <w:shd w:val="clear" w:color="auto" w:fill="38003D"/>
            <w:vAlign w:val="center"/>
            <w:hideMark/>
          </w:tcPr>
          <w:p>
            <w:pPr>
              <w:spacing w:after="0"/>
              <w:jc w:val="center"/>
              <w:rPr>
                <w:rFonts w:cstheme="minorHAnsi"/>
                <w:b/>
                <w:bCs/>
                <w:sz w:val="18"/>
                <w:szCs w:val="18"/>
              </w:rPr>
            </w:pPr>
            <w:r>
              <w:rPr>
                <w:rFonts w:cstheme="minorHAnsi"/>
                <w:b/>
                <w:bCs/>
                <w:sz w:val="18"/>
                <w:szCs w:val="18"/>
              </w:rPr>
              <w:t>Perempuan</w:t>
            </w:r>
          </w:p>
        </w:tc>
        <w:tc>
          <w:tcPr>
            <w:tcW w:w="1063" w:type="dxa"/>
            <w:shd w:val="clear" w:color="auto" w:fill="38003D"/>
            <w:vAlign w:val="center"/>
            <w:hideMark/>
          </w:tcPr>
          <w:p>
            <w:pPr>
              <w:spacing w:after="0"/>
              <w:jc w:val="center"/>
              <w:rPr>
                <w:rFonts w:cstheme="minorHAnsi"/>
                <w:b/>
                <w:bCs/>
                <w:sz w:val="18"/>
                <w:szCs w:val="18"/>
              </w:rPr>
            </w:pPr>
            <w:r>
              <w:rPr>
                <w:rFonts w:cstheme="minorHAnsi"/>
                <w:b/>
                <w:bCs/>
                <w:sz w:val="18"/>
                <w:szCs w:val="18"/>
              </w:rPr>
              <w:t>Laki-laki</w:t>
            </w:r>
          </w:p>
        </w:tc>
        <w:tc>
          <w:tcPr>
            <w:tcW w:w="1276" w:type="dxa"/>
            <w:shd w:val="clear" w:color="auto" w:fill="38003D"/>
            <w:vAlign w:val="center"/>
          </w:tcPr>
          <w:p>
            <w:pPr>
              <w:spacing w:after="0"/>
              <w:jc w:val="center"/>
              <w:rPr>
                <w:rFonts w:cstheme="minorHAnsi"/>
                <w:b/>
                <w:bCs/>
                <w:sz w:val="18"/>
                <w:szCs w:val="18"/>
              </w:rPr>
            </w:pPr>
            <w:r>
              <w:rPr>
                <w:rFonts w:cstheme="minorHAnsi"/>
                <w:b/>
                <w:bCs/>
                <w:sz w:val="18"/>
                <w:szCs w:val="18"/>
              </w:rPr>
              <w:t>Perempuan</w:t>
            </w:r>
          </w:p>
        </w:tc>
      </w:tr>
      <w:tr>
        <w:trPr>
          <w:trHeight w:val="221"/>
        </w:trPr>
        <w:tc>
          <w:tcPr>
            <w:tcW w:w="1559" w:type="dxa"/>
            <w:shd w:val="clear" w:color="auto" w:fill="38003D"/>
            <w:vAlign w:val="center"/>
            <w:hideMark/>
          </w:tcPr>
          <w:p>
            <w:pPr>
              <w:spacing w:after="0"/>
              <w:jc w:val="center"/>
              <w:rPr>
                <w:rFonts w:cstheme="minorHAnsi"/>
                <w:bCs/>
                <w:sz w:val="18"/>
                <w:szCs w:val="18"/>
              </w:rPr>
            </w:pPr>
            <w:r>
              <w:rPr>
                <w:rFonts w:cstheme="minorHAnsi"/>
                <w:bCs/>
                <w:sz w:val="18"/>
                <w:szCs w:val="18"/>
              </w:rPr>
              <w:t>(1)</w:t>
            </w:r>
          </w:p>
        </w:tc>
        <w:tc>
          <w:tcPr>
            <w:tcW w:w="1134" w:type="dxa"/>
            <w:shd w:val="clear" w:color="auto" w:fill="38003D"/>
            <w:vAlign w:val="center"/>
            <w:hideMark/>
          </w:tcPr>
          <w:p>
            <w:pPr>
              <w:spacing w:after="0"/>
              <w:jc w:val="center"/>
              <w:rPr>
                <w:rFonts w:cstheme="minorHAnsi"/>
                <w:bCs/>
                <w:sz w:val="18"/>
                <w:szCs w:val="18"/>
              </w:rPr>
            </w:pPr>
            <w:r>
              <w:rPr>
                <w:rFonts w:cstheme="minorHAnsi"/>
                <w:bCs/>
                <w:sz w:val="18"/>
                <w:szCs w:val="18"/>
              </w:rPr>
              <w:t>(2)</w:t>
            </w:r>
          </w:p>
        </w:tc>
        <w:tc>
          <w:tcPr>
            <w:tcW w:w="1205" w:type="dxa"/>
            <w:shd w:val="clear" w:color="auto" w:fill="38003D"/>
            <w:vAlign w:val="center"/>
            <w:hideMark/>
          </w:tcPr>
          <w:p>
            <w:pPr>
              <w:spacing w:after="0"/>
              <w:jc w:val="center"/>
              <w:rPr>
                <w:rFonts w:cstheme="minorHAnsi"/>
                <w:bCs/>
                <w:sz w:val="18"/>
                <w:szCs w:val="18"/>
              </w:rPr>
            </w:pPr>
            <w:r>
              <w:rPr>
                <w:rFonts w:cstheme="minorHAnsi"/>
                <w:bCs/>
                <w:sz w:val="18"/>
                <w:szCs w:val="18"/>
              </w:rPr>
              <w:t>(3)</w:t>
            </w:r>
          </w:p>
        </w:tc>
        <w:tc>
          <w:tcPr>
            <w:tcW w:w="1063" w:type="dxa"/>
            <w:shd w:val="clear" w:color="auto" w:fill="38003D"/>
            <w:vAlign w:val="center"/>
            <w:hideMark/>
          </w:tcPr>
          <w:p>
            <w:pPr>
              <w:spacing w:after="0"/>
              <w:jc w:val="center"/>
              <w:rPr>
                <w:rFonts w:cstheme="minorHAnsi"/>
                <w:bCs/>
                <w:sz w:val="18"/>
                <w:szCs w:val="18"/>
              </w:rPr>
            </w:pPr>
            <w:r>
              <w:rPr>
                <w:rFonts w:cstheme="minorHAnsi"/>
                <w:bCs/>
                <w:sz w:val="18"/>
                <w:szCs w:val="18"/>
              </w:rPr>
              <w:t>(4)</w:t>
            </w:r>
          </w:p>
        </w:tc>
        <w:tc>
          <w:tcPr>
            <w:tcW w:w="1276" w:type="dxa"/>
            <w:shd w:val="clear" w:color="auto" w:fill="38003D"/>
            <w:vAlign w:val="center"/>
          </w:tcPr>
          <w:p>
            <w:pPr>
              <w:spacing w:after="0"/>
              <w:jc w:val="center"/>
              <w:rPr>
                <w:rFonts w:cstheme="minorHAnsi"/>
                <w:bCs/>
                <w:sz w:val="18"/>
                <w:szCs w:val="18"/>
              </w:rPr>
            </w:pPr>
            <w:r>
              <w:rPr>
                <w:rFonts w:cstheme="minorHAnsi"/>
                <w:bCs/>
                <w:sz w:val="18"/>
                <w:szCs w:val="18"/>
              </w:rPr>
              <w:t>(5)</w:t>
            </w:r>
          </w:p>
        </w:tc>
      </w:tr>
      <w:tr>
        <w:trPr>
          <w:trHeight w:val="283"/>
        </w:trPr>
        <w:tc>
          <w:tcPr>
            <w:tcW w:w="1559" w:type="dxa"/>
            <w:shd w:val="clear" w:color="auto" w:fill="EAF1DD" w:themeFill="accent3" w:themeFillTint="33"/>
            <w:vAlign w:val="center"/>
            <w:hideMark/>
          </w:tcPr>
          <w:p>
            <w:pPr>
              <w:spacing w:after="0"/>
              <w:rPr>
                <w:rFonts w:cstheme="minorHAnsi"/>
                <w:bCs/>
                <w:sz w:val="18"/>
                <w:szCs w:val="18"/>
              </w:rPr>
            </w:pPr>
            <w:r>
              <w:rPr>
                <w:rFonts w:cstheme="minorHAnsi"/>
                <w:bCs/>
                <w:sz w:val="18"/>
                <w:szCs w:val="18"/>
              </w:rPr>
              <w:t>Polda</w:t>
            </w:r>
          </w:p>
        </w:tc>
        <w:tc>
          <w:tcPr>
            <w:tcW w:w="1134"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7 111</w:t>
            </w:r>
          </w:p>
        </w:tc>
        <w:tc>
          <w:tcPr>
            <w:tcW w:w="1205"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420</w:t>
            </w:r>
          </w:p>
        </w:tc>
        <w:tc>
          <w:tcPr>
            <w:tcW w:w="1063" w:type="dxa"/>
            <w:shd w:val="clear" w:color="auto" w:fill="EAF1DD" w:themeFill="accent3" w:themeFillTint="33"/>
            <w:noWrap/>
            <w:vAlign w:val="center"/>
            <w:hideMark/>
          </w:tcPr>
          <w:p>
            <w:pPr>
              <w:spacing w:after="0"/>
              <w:jc w:val="right"/>
              <w:rPr>
                <w:rFonts w:cstheme="minorHAnsi"/>
                <w:color w:val="000000"/>
                <w:sz w:val="18"/>
                <w:szCs w:val="18"/>
              </w:rPr>
            </w:pPr>
            <w:r>
              <w:rPr>
                <w:rFonts w:cstheme="minorHAnsi"/>
                <w:sz w:val="18"/>
                <w:szCs w:val="18"/>
              </w:rPr>
              <w:t>94,42</w:t>
            </w:r>
          </w:p>
        </w:tc>
        <w:tc>
          <w:tcPr>
            <w:tcW w:w="1276" w:type="dxa"/>
            <w:shd w:val="clear" w:color="auto" w:fill="EAF1DD" w:themeFill="accent3" w:themeFillTint="33"/>
            <w:vAlign w:val="center"/>
          </w:tcPr>
          <w:p>
            <w:pPr>
              <w:spacing w:after="0"/>
              <w:jc w:val="right"/>
              <w:rPr>
                <w:rFonts w:cstheme="minorHAnsi"/>
                <w:color w:val="000000"/>
                <w:sz w:val="18"/>
                <w:szCs w:val="18"/>
              </w:rPr>
            </w:pPr>
            <w:r>
              <w:rPr>
                <w:rFonts w:cstheme="minorHAnsi"/>
                <w:sz w:val="18"/>
                <w:szCs w:val="18"/>
              </w:rPr>
              <w:t>5,58</w:t>
            </w:r>
          </w:p>
        </w:tc>
      </w:tr>
      <w:tr>
        <w:trPr>
          <w:trHeight w:val="283"/>
        </w:trPr>
        <w:tc>
          <w:tcPr>
            <w:tcW w:w="1559" w:type="dxa"/>
            <w:shd w:val="clear" w:color="auto" w:fill="E5DFEC" w:themeFill="accent4" w:themeFillTint="33"/>
            <w:vAlign w:val="center"/>
            <w:hideMark/>
          </w:tcPr>
          <w:p>
            <w:pPr>
              <w:spacing w:after="0"/>
              <w:rPr>
                <w:rFonts w:cstheme="minorHAnsi"/>
                <w:sz w:val="18"/>
                <w:szCs w:val="18"/>
              </w:rPr>
            </w:pPr>
            <w:r>
              <w:rPr>
                <w:rFonts w:cstheme="minorHAnsi"/>
                <w:sz w:val="18"/>
                <w:szCs w:val="18"/>
              </w:rPr>
              <w:t>Kotawaringin Barat</w:t>
            </w:r>
          </w:p>
        </w:tc>
        <w:tc>
          <w:tcPr>
            <w:tcW w:w="1134"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359</w:t>
            </w:r>
          </w:p>
        </w:tc>
        <w:tc>
          <w:tcPr>
            <w:tcW w:w="1205"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33</w:t>
            </w:r>
          </w:p>
        </w:tc>
        <w:tc>
          <w:tcPr>
            <w:tcW w:w="1063" w:type="dxa"/>
            <w:shd w:val="clear" w:color="auto" w:fill="E5DFEC" w:themeFill="accent4" w:themeFillTint="33"/>
            <w:noWrap/>
            <w:vAlign w:val="center"/>
            <w:hideMark/>
          </w:tcPr>
          <w:p>
            <w:pPr>
              <w:spacing w:after="0"/>
              <w:jc w:val="right"/>
              <w:rPr>
                <w:rFonts w:cstheme="minorHAnsi"/>
                <w:color w:val="000000"/>
                <w:sz w:val="18"/>
                <w:szCs w:val="18"/>
              </w:rPr>
            </w:pPr>
            <w:r>
              <w:rPr>
                <w:rFonts w:cstheme="minorHAnsi"/>
                <w:sz w:val="18"/>
                <w:szCs w:val="18"/>
              </w:rPr>
              <w:t>91,58</w:t>
            </w:r>
          </w:p>
        </w:tc>
        <w:tc>
          <w:tcPr>
            <w:tcW w:w="1276" w:type="dxa"/>
            <w:shd w:val="clear" w:color="auto" w:fill="E5DFEC" w:themeFill="accent4" w:themeFillTint="33"/>
            <w:vAlign w:val="center"/>
          </w:tcPr>
          <w:p>
            <w:pPr>
              <w:spacing w:after="0"/>
              <w:jc w:val="right"/>
              <w:rPr>
                <w:rFonts w:cstheme="minorHAnsi"/>
                <w:color w:val="000000"/>
                <w:sz w:val="18"/>
                <w:szCs w:val="18"/>
              </w:rPr>
            </w:pPr>
            <w:r>
              <w:rPr>
                <w:rFonts w:cstheme="minorHAnsi"/>
                <w:sz w:val="18"/>
                <w:szCs w:val="18"/>
              </w:rPr>
              <w:t>8,42</w:t>
            </w:r>
          </w:p>
        </w:tc>
      </w:tr>
      <w:tr>
        <w:trPr>
          <w:trHeight w:val="283"/>
        </w:trPr>
        <w:tc>
          <w:tcPr>
            <w:tcW w:w="1559" w:type="dxa"/>
            <w:shd w:val="clear" w:color="auto" w:fill="EAF1DD" w:themeFill="accent3" w:themeFillTint="33"/>
            <w:vAlign w:val="center"/>
            <w:hideMark/>
          </w:tcPr>
          <w:p>
            <w:pPr>
              <w:spacing w:after="0"/>
              <w:rPr>
                <w:rFonts w:cstheme="minorHAnsi"/>
                <w:sz w:val="18"/>
                <w:szCs w:val="18"/>
              </w:rPr>
            </w:pPr>
            <w:r>
              <w:rPr>
                <w:rFonts w:cstheme="minorHAnsi"/>
                <w:sz w:val="18"/>
                <w:szCs w:val="18"/>
              </w:rPr>
              <w:t>Kotawaringin Timur</w:t>
            </w:r>
          </w:p>
        </w:tc>
        <w:tc>
          <w:tcPr>
            <w:tcW w:w="1134"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501</w:t>
            </w:r>
          </w:p>
        </w:tc>
        <w:tc>
          <w:tcPr>
            <w:tcW w:w="1205"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40</w:t>
            </w:r>
          </w:p>
        </w:tc>
        <w:tc>
          <w:tcPr>
            <w:tcW w:w="1063" w:type="dxa"/>
            <w:shd w:val="clear" w:color="auto" w:fill="EAF1DD" w:themeFill="accent3" w:themeFillTint="33"/>
            <w:noWrap/>
            <w:vAlign w:val="center"/>
            <w:hideMark/>
          </w:tcPr>
          <w:p>
            <w:pPr>
              <w:spacing w:after="0"/>
              <w:jc w:val="right"/>
              <w:rPr>
                <w:rFonts w:cstheme="minorHAnsi"/>
                <w:color w:val="000000"/>
                <w:sz w:val="18"/>
                <w:szCs w:val="18"/>
              </w:rPr>
            </w:pPr>
            <w:r>
              <w:rPr>
                <w:rFonts w:cstheme="minorHAnsi"/>
                <w:sz w:val="18"/>
                <w:szCs w:val="18"/>
              </w:rPr>
              <w:t>92,61</w:t>
            </w:r>
          </w:p>
        </w:tc>
        <w:tc>
          <w:tcPr>
            <w:tcW w:w="1276" w:type="dxa"/>
            <w:shd w:val="clear" w:color="auto" w:fill="EAF1DD" w:themeFill="accent3" w:themeFillTint="33"/>
            <w:vAlign w:val="center"/>
          </w:tcPr>
          <w:p>
            <w:pPr>
              <w:spacing w:after="0"/>
              <w:jc w:val="right"/>
              <w:rPr>
                <w:rFonts w:cstheme="minorHAnsi"/>
                <w:color w:val="000000"/>
                <w:sz w:val="18"/>
                <w:szCs w:val="18"/>
              </w:rPr>
            </w:pPr>
            <w:r>
              <w:rPr>
                <w:rFonts w:cstheme="minorHAnsi"/>
                <w:sz w:val="18"/>
                <w:szCs w:val="18"/>
              </w:rPr>
              <w:t>7,39</w:t>
            </w:r>
          </w:p>
        </w:tc>
      </w:tr>
      <w:tr>
        <w:trPr>
          <w:trHeight w:val="283"/>
        </w:trPr>
        <w:tc>
          <w:tcPr>
            <w:tcW w:w="1559" w:type="dxa"/>
            <w:shd w:val="clear" w:color="auto" w:fill="E5DFEC" w:themeFill="accent4" w:themeFillTint="33"/>
            <w:vAlign w:val="center"/>
            <w:hideMark/>
          </w:tcPr>
          <w:p>
            <w:pPr>
              <w:spacing w:after="0"/>
              <w:rPr>
                <w:rFonts w:cstheme="minorHAnsi"/>
                <w:sz w:val="18"/>
                <w:szCs w:val="18"/>
              </w:rPr>
            </w:pPr>
            <w:r>
              <w:rPr>
                <w:rFonts w:cstheme="minorHAnsi"/>
                <w:sz w:val="18"/>
                <w:szCs w:val="18"/>
              </w:rPr>
              <w:t>Kapuas</w:t>
            </w:r>
          </w:p>
        </w:tc>
        <w:tc>
          <w:tcPr>
            <w:tcW w:w="1134"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469</w:t>
            </w:r>
          </w:p>
        </w:tc>
        <w:tc>
          <w:tcPr>
            <w:tcW w:w="1205"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44</w:t>
            </w:r>
          </w:p>
        </w:tc>
        <w:tc>
          <w:tcPr>
            <w:tcW w:w="1063" w:type="dxa"/>
            <w:shd w:val="clear" w:color="auto" w:fill="E5DFEC" w:themeFill="accent4" w:themeFillTint="33"/>
            <w:noWrap/>
            <w:vAlign w:val="center"/>
            <w:hideMark/>
          </w:tcPr>
          <w:p>
            <w:pPr>
              <w:spacing w:after="0"/>
              <w:jc w:val="right"/>
              <w:rPr>
                <w:rFonts w:cstheme="minorHAnsi"/>
                <w:color w:val="000000"/>
                <w:sz w:val="18"/>
                <w:szCs w:val="18"/>
              </w:rPr>
            </w:pPr>
            <w:r>
              <w:rPr>
                <w:rFonts w:cstheme="minorHAnsi"/>
                <w:sz w:val="18"/>
                <w:szCs w:val="18"/>
              </w:rPr>
              <w:t>91,42</w:t>
            </w:r>
          </w:p>
        </w:tc>
        <w:tc>
          <w:tcPr>
            <w:tcW w:w="1276" w:type="dxa"/>
            <w:shd w:val="clear" w:color="auto" w:fill="E5DFEC" w:themeFill="accent4" w:themeFillTint="33"/>
            <w:vAlign w:val="center"/>
          </w:tcPr>
          <w:p>
            <w:pPr>
              <w:spacing w:after="0"/>
              <w:jc w:val="right"/>
              <w:rPr>
                <w:rFonts w:cstheme="minorHAnsi"/>
                <w:color w:val="000000"/>
                <w:sz w:val="18"/>
                <w:szCs w:val="18"/>
              </w:rPr>
            </w:pPr>
            <w:r>
              <w:rPr>
                <w:rFonts w:cstheme="minorHAnsi"/>
                <w:sz w:val="18"/>
                <w:szCs w:val="18"/>
              </w:rPr>
              <w:t>8,58</w:t>
            </w:r>
          </w:p>
        </w:tc>
      </w:tr>
      <w:tr>
        <w:trPr>
          <w:trHeight w:val="283"/>
        </w:trPr>
        <w:tc>
          <w:tcPr>
            <w:tcW w:w="1559" w:type="dxa"/>
            <w:shd w:val="clear" w:color="auto" w:fill="EAF1DD" w:themeFill="accent3" w:themeFillTint="33"/>
            <w:vAlign w:val="center"/>
            <w:hideMark/>
          </w:tcPr>
          <w:p>
            <w:pPr>
              <w:spacing w:after="0"/>
              <w:rPr>
                <w:rFonts w:cstheme="minorHAnsi"/>
                <w:sz w:val="18"/>
                <w:szCs w:val="18"/>
              </w:rPr>
            </w:pPr>
            <w:r>
              <w:rPr>
                <w:rFonts w:cstheme="minorHAnsi"/>
                <w:sz w:val="18"/>
                <w:szCs w:val="18"/>
              </w:rPr>
              <w:t>Barito Selatan</w:t>
            </w:r>
          </w:p>
        </w:tc>
        <w:tc>
          <w:tcPr>
            <w:tcW w:w="1134"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262</w:t>
            </w:r>
          </w:p>
        </w:tc>
        <w:tc>
          <w:tcPr>
            <w:tcW w:w="1205"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18</w:t>
            </w:r>
          </w:p>
        </w:tc>
        <w:tc>
          <w:tcPr>
            <w:tcW w:w="1063" w:type="dxa"/>
            <w:shd w:val="clear" w:color="auto" w:fill="EAF1DD" w:themeFill="accent3" w:themeFillTint="33"/>
            <w:noWrap/>
            <w:vAlign w:val="center"/>
            <w:hideMark/>
          </w:tcPr>
          <w:p>
            <w:pPr>
              <w:spacing w:after="0"/>
              <w:jc w:val="right"/>
              <w:rPr>
                <w:rFonts w:cstheme="minorHAnsi"/>
                <w:color w:val="000000"/>
                <w:sz w:val="18"/>
                <w:szCs w:val="18"/>
              </w:rPr>
            </w:pPr>
            <w:r>
              <w:rPr>
                <w:rFonts w:cstheme="minorHAnsi"/>
                <w:sz w:val="18"/>
                <w:szCs w:val="18"/>
              </w:rPr>
              <w:t>93,57</w:t>
            </w:r>
          </w:p>
        </w:tc>
        <w:tc>
          <w:tcPr>
            <w:tcW w:w="1276" w:type="dxa"/>
            <w:shd w:val="clear" w:color="auto" w:fill="EAF1DD" w:themeFill="accent3" w:themeFillTint="33"/>
            <w:vAlign w:val="center"/>
          </w:tcPr>
          <w:p>
            <w:pPr>
              <w:spacing w:after="0"/>
              <w:jc w:val="right"/>
              <w:rPr>
                <w:rFonts w:cstheme="minorHAnsi"/>
                <w:color w:val="000000"/>
                <w:sz w:val="18"/>
                <w:szCs w:val="18"/>
              </w:rPr>
            </w:pPr>
            <w:r>
              <w:rPr>
                <w:rFonts w:cstheme="minorHAnsi"/>
                <w:sz w:val="18"/>
                <w:szCs w:val="18"/>
              </w:rPr>
              <w:t>6,43</w:t>
            </w:r>
          </w:p>
        </w:tc>
      </w:tr>
      <w:tr>
        <w:trPr>
          <w:trHeight w:val="283"/>
        </w:trPr>
        <w:tc>
          <w:tcPr>
            <w:tcW w:w="1559" w:type="dxa"/>
            <w:shd w:val="clear" w:color="auto" w:fill="E5DFEC" w:themeFill="accent4" w:themeFillTint="33"/>
            <w:vAlign w:val="center"/>
            <w:hideMark/>
          </w:tcPr>
          <w:p>
            <w:pPr>
              <w:spacing w:after="0"/>
              <w:rPr>
                <w:rFonts w:cstheme="minorHAnsi"/>
                <w:sz w:val="18"/>
                <w:szCs w:val="18"/>
              </w:rPr>
            </w:pPr>
            <w:r>
              <w:rPr>
                <w:rFonts w:cstheme="minorHAnsi"/>
                <w:sz w:val="18"/>
                <w:szCs w:val="18"/>
              </w:rPr>
              <w:t>Barito Utara</w:t>
            </w:r>
          </w:p>
        </w:tc>
        <w:tc>
          <w:tcPr>
            <w:tcW w:w="1134"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294</w:t>
            </w:r>
          </w:p>
        </w:tc>
        <w:tc>
          <w:tcPr>
            <w:tcW w:w="1205"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11</w:t>
            </w:r>
          </w:p>
        </w:tc>
        <w:tc>
          <w:tcPr>
            <w:tcW w:w="1063" w:type="dxa"/>
            <w:shd w:val="clear" w:color="auto" w:fill="E5DFEC" w:themeFill="accent4" w:themeFillTint="33"/>
            <w:noWrap/>
            <w:vAlign w:val="center"/>
            <w:hideMark/>
          </w:tcPr>
          <w:p>
            <w:pPr>
              <w:spacing w:after="0"/>
              <w:jc w:val="right"/>
              <w:rPr>
                <w:rFonts w:cstheme="minorHAnsi"/>
                <w:color w:val="000000"/>
                <w:sz w:val="18"/>
                <w:szCs w:val="18"/>
              </w:rPr>
            </w:pPr>
            <w:r>
              <w:rPr>
                <w:rFonts w:cstheme="minorHAnsi"/>
                <w:sz w:val="18"/>
                <w:szCs w:val="18"/>
              </w:rPr>
              <w:t>96,39</w:t>
            </w:r>
          </w:p>
        </w:tc>
        <w:tc>
          <w:tcPr>
            <w:tcW w:w="1276" w:type="dxa"/>
            <w:shd w:val="clear" w:color="auto" w:fill="E5DFEC" w:themeFill="accent4" w:themeFillTint="33"/>
            <w:vAlign w:val="center"/>
          </w:tcPr>
          <w:p>
            <w:pPr>
              <w:spacing w:after="0"/>
              <w:jc w:val="right"/>
              <w:rPr>
                <w:rFonts w:cstheme="minorHAnsi"/>
                <w:color w:val="000000"/>
                <w:sz w:val="18"/>
                <w:szCs w:val="18"/>
              </w:rPr>
            </w:pPr>
            <w:r>
              <w:rPr>
                <w:rFonts w:cstheme="minorHAnsi"/>
                <w:sz w:val="18"/>
                <w:szCs w:val="18"/>
              </w:rPr>
              <w:t>3,61</w:t>
            </w:r>
          </w:p>
        </w:tc>
      </w:tr>
      <w:tr>
        <w:trPr>
          <w:trHeight w:val="283"/>
        </w:trPr>
        <w:tc>
          <w:tcPr>
            <w:tcW w:w="1559" w:type="dxa"/>
            <w:shd w:val="clear" w:color="auto" w:fill="EAF1DD" w:themeFill="accent3" w:themeFillTint="33"/>
            <w:vAlign w:val="center"/>
            <w:hideMark/>
          </w:tcPr>
          <w:p>
            <w:pPr>
              <w:spacing w:after="0"/>
              <w:rPr>
                <w:rFonts w:cstheme="minorHAnsi"/>
                <w:sz w:val="18"/>
                <w:szCs w:val="18"/>
              </w:rPr>
            </w:pPr>
            <w:r>
              <w:rPr>
                <w:rFonts w:cstheme="minorHAnsi"/>
                <w:sz w:val="18"/>
                <w:szCs w:val="18"/>
              </w:rPr>
              <w:t>Sukamara</w:t>
            </w:r>
          </w:p>
        </w:tc>
        <w:tc>
          <w:tcPr>
            <w:tcW w:w="1134"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268</w:t>
            </w:r>
          </w:p>
        </w:tc>
        <w:tc>
          <w:tcPr>
            <w:tcW w:w="1205"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4</w:t>
            </w:r>
          </w:p>
        </w:tc>
        <w:tc>
          <w:tcPr>
            <w:tcW w:w="1063" w:type="dxa"/>
            <w:shd w:val="clear" w:color="auto" w:fill="EAF1DD" w:themeFill="accent3" w:themeFillTint="33"/>
            <w:noWrap/>
            <w:vAlign w:val="center"/>
            <w:hideMark/>
          </w:tcPr>
          <w:p>
            <w:pPr>
              <w:spacing w:after="0"/>
              <w:jc w:val="right"/>
              <w:rPr>
                <w:rFonts w:cstheme="minorHAnsi"/>
                <w:color w:val="000000"/>
                <w:sz w:val="18"/>
                <w:szCs w:val="18"/>
              </w:rPr>
            </w:pPr>
            <w:r>
              <w:rPr>
                <w:rFonts w:cstheme="minorHAnsi"/>
                <w:sz w:val="18"/>
                <w:szCs w:val="18"/>
              </w:rPr>
              <w:t>98,53</w:t>
            </w:r>
          </w:p>
        </w:tc>
        <w:tc>
          <w:tcPr>
            <w:tcW w:w="1276" w:type="dxa"/>
            <w:shd w:val="clear" w:color="auto" w:fill="EAF1DD" w:themeFill="accent3" w:themeFillTint="33"/>
            <w:vAlign w:val="center"/>
          </w:tcPr>
          <w:p>
            <w:pPr>
              <w:spacing w:after="0"/>
              <w:jc w:val="right"/>
              <w:rPr>
                <w:rFonts w:cstheme="minorHAnsi"/>
                <w:color w:val="000000"/>
                <w:sz w:val="18"/>
                <w:szCs w:val="18"/>
              </w:rPr>
            </w:pPr>
            <w:r>
              <w:rPr>
                <w:rFonts w:cstheme="minorHAnsi"/>
                <w:sz w:val="18"/>
                <w:szCs w:val="18"/>
              </w:rPr>
              <w:t>1,47</w:t>
            </w:r>
          </w:p>
        </w:tc>
      </w:tr>
      <w:tr>
        <w:trPr>
          <w:trHeight w:val="283"/>
        </w:trPr>
        <w:tc>
          <w:tcPr>
            <w:tcW w:w="1559" w:type="dxa"/>
            <w:shd w:val="clear" w:color="auto" w:fill="E5DFEC" w:themeFill="accent4" w:themeFillTint="33"/>
            <w:vAlign w:val="center"/>
            <w:hideMark/>
          </w:tcPr>
          <w:p>
            <w:pPr>
              <w:spacing w:after="0"/>
              <w:rPr>
                <w:rFonts w:cstheme="minorHAnsi"/>
                <w:sz w:val="18"/>
                <w:szCs w:val="18"/>
              </w:rPr>
            </w:pPr>
            <w:r>
              <w:rPr>
                <w:rFonts w:cstheme="minorHAnsi"/>
                <w:sz w:val="18"/>
                <w:szCs w:val="18"/>
              </w:rPr>
              <w:t>Lamandau</w:t>
            </w:r>
          </w:p>
        </w:tc>
        <w:tc>
          <w:tcPr>
            <w:tcW w:w="1134"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254</w:t>
            </w:r>
          </w:p>
        </w:tc>
        <w:tc>
          <w:tcPr>
            <w:tcW w:w="1205"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12</w:t>
            </w:r>
          </w:p>
        </w:tc>
        <w:tc>
          <w:tcPr>
            <w:tcW w:w="1063" w:type="dxa"/>
            <w:shd w:val="clear" w:color="auto" w:fill="E5DFEC" w:themeFill="accent4" w:themeFillTint="33"/>
            <w:noWrap/>
            <w:vAlign w:val="center"/>
            <w:hideMark/>
          </w:tcPr>
          <w:p>
            <w:pPr>
              <w:spacing w:after="0"/>
              <w:jc w:val="right"/>
              <w:rPr>
                <w:rFonts w:cstheme="minorHAnsi"/>
                <w:color w:val="000000"/>
                <w:sz w:val="18"/>
                <w:szCs w:val="18"/>
              </w:rPr>
            </w:pPr>
            <w:r>
              <w:rPr>
                <w:rFonts w:cstheme="minorHAnsi"/>
                <w:sz w:val="18"/>
                <w:szCs w:val="18"/>
              </w:rPr>
              <w:t>95,49</w:t>
            </w:r>
          </w:p>
        </w:tc>
        <w:tc>
          <w:tcPr>
            <w:tcW w:w="1276" w:type="dxa"/>
            <w:shd w:val="clear" w:color="auto" w:fill="E5DFEC" w:themeFill="accent4" w:themeFillTint="33"/>
            <w:vAlign w:val="center"/>
          </w:tcPr>
          <w:p>
            <w:pPr>
              <w:spacing w:after="0"/>
              <w:jc w:val="right"/>
              <w:rPr>
                <w:rFonts w:cstheme="minorHAnsi"/>
                <w:color w:val="000000"/>
                <w:sz w:val="18"/>
                <w:szCs w:val="18"/>
              </w:rPr>
            </w:pPr>
            <w:r>
              <w:rPr>
                <w:rFonts w:cstheme="minorHAnsi"/>
                <w:sz w:val="18"/>
                <w:szCs w:val="18"/>
              </w:rPr>
              <w:t>4,51</w:t>
            </w:r>
          </w:p>
        </w:tc>
      </w:tr>
      <w:tr>
        <w:trPr>
          <w:trHeight w:val="283"/>
        </w:trPr>
        <w:tc>
          <w:tcPr>
            <w:tcW w:w="1559" w:type="dxa"/>
            <w:shd w:val="clear" w:color="auto" w:fill="EAF1DD" w:themeFill="accent3" w:themeFillTint="33"/>
            <w:vAlign w:val="center"/>
            <w:hideMark/>
          </w:tcPr>
          <w:p>
            <w:pPr>
              <w:spacing w:after="0"/>
              <w:rPr>
                <w:rFonts w:cstheme="minorHAnsi"/>
                <w:sz w:val="18"/>
                <w:szCs w:val="18"/>
              </w:rPr>
            </w:pPr>
            <w:r>
              <w:rPr>
                <w:rFonts w:cstheme="minorHAnsi"/>
                <w:sz w:val="18"/>
                <w:szCs w:val="18"/>
              </w:rPr>
              <w:t>Seruyan</w:t>
            </w:r>
          </w:p>
        </w:tc>
        <w:tc>
          <w:tcPr>
            <w:tcW w:w="1134"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261</w:t>
            </w:r>
          </w:p>
        </w:tc>
        <w:tc>
          <w:tcPr>
            <w:tcW w:w="1205"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6</w:t>
            </w:r>
          </w:p>
        </w:tc>
        <w:tc>
          <w:tcPr>
            <w:tcW w:w="1063" w:type="dxa"/>
            <w:shd w:val="clear" w:color="auto" w:fill="EAF1DD" w:themeFill="accent3" w:themeFillTint="33"/>
            <w:noWrap/>
            <w:vAlign w:val="center"/>
            <w:hideMark/>
          </w:tcPr>
          <w:p>
            <w:pPr>
              <w:spacing w:after="0"/>
              <w:jc w:val="right"/>
              <w:rPr>
                <w:rFonts w:cstheme="minorHAnsi"/>
                <w:color w:val="000000"/>
                <w:sz w:val="18"/>
                <w:szCs w:val="18"/>
              </w:rPr>
            </w:pPr>
            <w:r>
              <w:rPr>
                <w:rFonts w:cstheme="minorHAnsi"/>
                <w:sz w:val="18"/>
                <w:szCs w:val="18"/>
              </w:rPr>
              <w:t>97,75</w:t>
            </w:r>
          </w:p>
        </w:tc>
        <w:tc>
          <w:tcPr>
            <w:tcW w:w="1276" w:type="dxa"/>
            <w:shd w:val="clear" w:color="auto" w:fill="EAF1DD" w:themeFill="accent3" w:themeFillTint="33"/>
            <w:vAlign w:val="center"/>
          </w:tcPr>
          <w:p>
            <w:pPr>
              <w:spacing w:after="0"/>
              <w:jc w:val="right"/>
              <w:rPr>
                <w:rFonts w:cstheme="minorHAnsi"/>
                <w:color w:val="000000"/>
                <w:sz w:val="18"/>
                <w:szCs w:val="18"/>
              </w:rPr>
            </w:pPr>
            <w:r>
              <w:rPr>
                <w:rFonts w:cstheme="minorHAnsi"/>
                <w:sz w:val="18"/>
                <w:szCs w:val="18"/>
              </w:rPr>
              <w:t>2,25</w:t>
            </w:r>
          </w:p>
        </w:tc>
      </w:tr>
      <w:tr>
        <w:trPr>
          <w:trHeight w:val="283"/>
        </w:trPr>
        <w:tc>
          <w:tcPr>
            <w:tcW w:w="1559" w:type="dxa"/>
            <w:shd w:val="clear" w:color="auto" w:fill="E5DFEC" w:themeFill="accent4" w:themeFillTint="33"/>
            <w:vAlign w:val="center"/>
            <w:hideMark/>
          </w:tcPr>
          <w:p>
            <w:pPr>
              <w:spacing w:after="0"/>
              <w:rPr>
                <w:rFonts w:cstheme="minorHAnsi"/>
                <w:sz w:val="18"/>
                <w:szCs w:val="18"/>
              </w:rPr>
            </w:pPr>
            <w:r>
              <w:rPr>
                <w:rFonts w:cstheme="minorHAnsi"/>
                <w:sz w:val="18"/>
                <w:szCs w:val="18"/>
              </w:rPr>
              <w:t>Katingan</w:t>
            </w:r>
          </w:p>
        </w:tc>
        <w:tc>
          <w:tcPr>
            <w:tcW w:w="1134"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311</w:t>
            </w:r>
          </w:p>
        </w:tc>
        <w:tc>
          <w:tcPr>
            <w:tcW w:w="1205"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14</w:t>
            </w:r>
          </w:p>
        </w:tc>
        <w:tc>
          <w:tcPr>
            <w:tcW w:w="1063" w:type="dxa"/>
            <w:shd w:val="clear" w:color="auto" w:fill="E5DFEC" w:themeFill="accent4" w:themeFillTint="33"/>
            <w:noWrap/>
            <w:vAlign w:val="center"/>
            <w:hideMark/>
          </w:tcPr>
          <w:p>
            <w:pPr>
              <w:spacing w:after="0"/>
              <w:jc w:val="right"/>
              <w:rPr>
                <w:rFonts w:cstheme="minorHAnsi"/>
                <w:color w:val="000000"/>
                <w:sz w:val="18"/>
                <w:szCs w:val="18"/>
              </w:rPr>
            </w:pPr>
            <w:r>
              <w:rPr>
                <w:rFonts w:cstheme="minorHAnsi"/>
                <w:sz w:val="18"/>
                <w:szCs w:val="18"/>
              </w:rPr>
              <w:t>95,69</w:t>
            </w:r>
          </w:p>
        </w:tc>
        <w:tc>
          <w:tcPr>
            <w:tcW w:w="1276" w:type="dxa"/>
            <w:shd w:val="clear" w:color="auto" w:fill="E5DFEC" w:themeFill="accent4" w:themeFillTint="33"/>
            <w:vAlign w:val="center"/>
          </w:tcPr>
          <w:p>
            <w:pPr>
              <w:spacing w:after="0"/>
              <w:jc w:val="right"/>
              <w:rPr>
                <w:rFonts w:cstheme="minorHAnsi"/>
                <w:color w:val="000000"/>
                <w:sz w:val="18"/>
                <w:szCs w:val="18"/>
              </w:rPr>
            </w:pPr>
            <w:r>
              <w:rPr>
                <w:rFonts w:cstheme="minorHAnsi"/>
                <w:sz w:val="18"/>
                <w:szCs w:val="18"/>
              </w:rPr>
              <w:t>4,31</w:t>
            </w:r>
          </w:p>
        </w:tc>
      </w:tr>
      <w:tr>
        <w:trPr>
          <w:trHeight w:val="283"/>
        </w:trPr>
        <w:tc>
          <w:tcPr>
            <w:tcW w:w="1559" w:type="dxa"/>
            <w:shd w:val="clear" w:color="auto" w:fill="EAF1DD" w:themeFill="accent3" w:themeFillTint="33"/>
            <w:vAlign w:val="center"/>
            <w:hideMark/>
          </w:tcPr>
          <w:p>
            <w:pPr>
              <w:spacing w:after="0"/>
              <w:rPr>
                <w:rFonts w:cstheme="minorHAnsi"/>
                <w:sz w:val="18"/>
                <w:szCs w:val="18"/>
              </w:rPr>
            </w:pPr>
            <w:r>
              <w:rPr>
                <w:rFonts w:cstheme="minorHAnsi"/>
                <w:sz w:val="18"/>
                <w:szCs w:val="18"/>
              </w:rPr>
              <w:t>Pulang Pisau</w:t>
            </w:r>
          </w:p>
        </w:tc>
        <w:tc>
          <w:tcPr>
            <w:tcW w:w="1134"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309</w:t>
            </w:r>
          </w:p>
        </w:tc>
        <w:tc>
          <w:tcPr>
            <w:tcW w:w="1205"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13</w:t>
            </w:r>
          </w:p>
        </w:tc>
        <w:tc>
          <w:tcPr>
            <w:tcW w:w="1063" w:type="dxa"/>
            <w:shd w:val="clear" w:color="auto" w:fill="EAF1DD" w:themeFill="accent3" w:themeFillTint="33"/>
            <w:noWrap/>
            <w:vAlign w:val="center"/>
            <w:hideMark/>
          </w:tcPr>
          <w:p>
            <w:pPr>
              <w:spacing w:after="0"/>
              <w:jc w:val="right"/>
              <w:rPr>
                <w:rFonts w:cstheme="minorHAnsi"/>
                <w:color w:val="000000"/>
                <w:sz w:val="18"/>
                <w:szCs w:val="18"/>
              </w:rPr>
            </w:pPr>
            <w:r>
              <w:rPr>
                <w:rFonts w:cstheme="minorHAnsi"/>
                <w:sz w:val="18"/>
                <w:szCs w:val="18"/>
              </w:rPr>
              <w:t>95,96</w:t>
            </w:r>
          </w:p>
        </w:tc>
        <w:tc>
          <w:tcPr>
            <w:tcW w:w="1276" w:type="dxa"/>
            <w:shd w:val="clear" w:color="auto" w:fill="EAF1DD" w:themeFill="accent3" w:themeFillTint="33"/>
            <w:vAlign w:val="center"/>
          </w:tcPr>
          <w:p>
            <w:pPr>
              <w:spacing w:after="0"/>
              <w:jc w:val="right"/>
              <w:rPr>
                <w:rFonts w:cstheme="minorHAnsi"/>
                <w:color w:val="000000"/>
                <w:sz w:val="18"/>
                <w:szCs w:val="18"/>
              </w:rPr>
            </w:pPr>
            <w:r>
              <w:rPr>
                <w:rFonts w:cstheme="minorHAnsi"/>
                <w:sz w:val="18"/>
                <w:szCs w:val="18"/>
              </w:rPr>
              <w:t>4,04</w:t>
            </w:r>
          </w:p>
        </w:tc>
      </w:tr>
      <w:tr>
        <w:trPr>
          <w:trHeight w:val="283"/>
        </w:trPr>
        <w:tc>
          <w:tcPr>
            <w:tcW w:w="1559" w:type="dxa"/>
            <w:shd w:val="clear" w:color="auto" w:fill="E5DFEC" w:themeFill="accent4" w:themeFillTint="33"/>
            <w:vAlign w:val="center"/>
            <w:hideMark/>
          </w:tcPr>
          <w:p>
            <w:pPr>
              <w:spacing w:after="0"/>
              <w:rPr>
                <w:rFonts w:cstheme="minorHAnsi"/>
                <w:sz w:val="18"/>
                <w:szCs w:val="18"/>
              </w:rPr>
            </w:pPr>
            <w:r>
              <w:rPr>
                <w:rFonts w:cstheme="minorHAnsi"/>
                <w:sz w:val="18"/>
                <w:szCs w:val="18"/>
              </w:rPr>
              <w:t>Gunung Mas</w:t>
            </w:r>
          </w:p>
        </w:tc>
        <w:tc>
          <w:tcPr>
            <w:tcW w:w="1134"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262</w:t>
            </w:r>
          </w:p>
        </w:tc>
        <w:tc>
          <w:tcPr>
            <w:tcW w:w="1205"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10</w:t>
            </w:r>
          </w:p>
        </w:tc>
        <w:tc>
          <w:tcPr>
            <w:tcW w:w="1063" w:type="dxa"/>
            <w:shd w:val="clear" w:color="auto" w:fill="E5DFEC" w:themeFill="accent4" w:themeFillTint="33"/>
            <w:noWrap/>
            <w:vAlign w:val="center"/>
            <w:hideMark/>
          </w:tcPr>
          <w:p>
            <w:pPr>
              <w:spacing w:after="0"/>
              <w:jc w:val="right"/>
              <w:rPr>
                <w:rFonts w:cstheme="minorHAnsi"/>
                <w:color w:val="000000"/>
                <w:sz w:val="18"/>
                <w:szCs w:val="18"/>
              </w:rPr>
            </w:pPr>
            <w:r>
              <w:rPr>
                <w:rFonts w:cstheme="minorHAnsi"/>
                <w:sz w:val="18"/>
                <w:szCs w:val="18"/>
              </w:rPr>
              <w:t>96,32</w:t>
            </w:r>
          </w:p>
        </w:tc>
        <w:tc>
          <w:tcPr>
            <w:tcW w:w="1276" w:type="dxa"/>
            <w:shd w:val="clear" w:color="auto" w:fill="E5DFEC" w:themeFill="accent4" w:themeFillTint="33"/>
            <w:vAlign w:val="center"/>
          </w:tcPr>
          <w:p>
            <w:pPr>
              <w:spacing w:after="0"/>
              <w:jc w:val="right"/>
              <w:rPr>
                <w:rFonts w:cstheme="minorHAnsi"/>
                <w:color w:val="000000"/>
                <w:sz w:val="18"/>
                <w:szCs w:val="18"/>
              </w:rPr>
            </w:pPr>
            <w:r>
              <w:rPr>
                <w:rFonts w:cstheme="minorHAnsi"/>
                <w:sz w:val="18"/>
                <w:szCs w:val="18"/>
              </w:rPr>
              <w:t>3,68</w:t>
            </w:r>
          </w:p>
        </w:tc>
      </w:tr>
      <w:tr>
        <w:trPr>
          <w:trHeight w:val="283"/>
        </w:trPr>
        <w:tc>
          <w:tcPr>
            <w:tcW w:w="1559" w:type="dxa"/>
            <w:shd w:val="clear" w:color="auto" w:fill="EAF1DD" w:themeFill="accent3" w:themeFillTint="33"/>
            <w:vAlign w:val="center"/>
            <w:hideMark/>
          </w:tcPr>
          <w:p>
            <w:pPr>
              <w:spacing w:after="0"/>
              <w:rPr>
                <w:rFonts w:cstheme="minorHAnsi"/>
                <w:sz w:val="18"/>
                <w:szCs w:val="18"/>
              </w:rPr>
            </w:pPr>
            <w:r>
              <w:rPr>
                <w:rFonts w:cstheme="minorHAnsi"/>
                <w:sz w:val="18"/>
                <w:szCs w:val="18"/>
              </w:rPr>
              <w:t>Barito Timur</w:t>
            </w:r>
          </w:p>
        </w:tc>
        <w:tc>
          <w:tcPr>
            <w:tcW w:w="1134"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267</w:t>
            </w:r>
          </w:p>
        </w:tc>
        <w:tc>
          <w:tcPr>
            <w:tcW w:w="1205"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13</w:t>
            </w:r>
          </w:p>
        </w:tc>
        <w:tc>
          <w:tcPr>
            <w:tcW w:w="1063" w:type="dxa"/>
            <w:shd w:val="clear" w:color="auto" w:fill="EAF1DD" w:themeFill="accent3" w:themeFillTint="33"/>
            <w:noWrap/>
            <w:vAlign w:val="center"/>
            <w:hideMark/>
          </w:tcPr>
          <w:p>
            <w:pPr>
              <w:spacing w:after="0"/>
              <w:jc w:val="right"/>
              <w:rPr>
                <w:rFonts w:cstheme="minorHAnsi"/>
                <w:color w:val="000000"/>
                <w:sz w:val="18"/>
                <w:szCs w:val="18"/>
              </w:rPr>
            </w:pPr>
            <w:r>
              <w:rPr>
                <w:rFonts w:cstheme="minorHAnsi"/>
                <w:sz w:val="18"/>
                <w:szCs w:val="18"/>
              </w:rPr>
              <w:t>95,36</w:t>
            </w:r>
          </w:p>
        </w:tc>
        <w:tc>
          <w:tcPr>
            <w:tcW w:w="1276" w:type="dxa"/>
            <w:shd w:val="clear" w:color="auto" w:fill="EAF1DD" w:themeFill="accent3" w:themeFillTint="33"/>
            <w:vAlign w:val="center"/>
          </w:tcPr>
          <w:p>
            <w:pPr>
              <w:spacing w:after="0"/>
              <w:jc w:val="right"/>
              <w:rPr>
                <w:rFonts w:cstheme="minorHAnsi"/>
                <w:color w:val="000000"/>
                <w:sz w:val="18"/>
                <w:szCs w:val="18"/>
              </w:rPr>
            </w:pPr>
            <w:r>
              <w:rPr>
                <w:rFonts w:cstheme="minorHAnsi"/>
                <w:sz w:val="18"/>
                <w:szCs w:val="18"/>
              </w:rPr>
              <w:t>4,64</w:t>
            </w:r>
          </w:p>
        </w:tc>
      </w:tr>
      <w:tr>
        <w:trPr>
          <w:trHeight w:val="283"/>
        </w:trPr>
        <w:tc>
          <w:tcPr>
            <w:tcW w:w="1559" w:type="dxa"/>
            <w:shd w:val="clear" w:color="auto" w:fill="E5DFEC" w:themeFill="accent4" w:themeFillTint="33"/>
            <w:vAlign w:val="center"/>
            <w:hideMark/>
          </w:tcPr>
          <w:p>
            <w:pPr>
              <w:spacing w:after="0"/>
              <w:rPr>
                <w:rFonts w:cstheme="minorHAnsi"/>
                <w:sz w:val="18"/>
                <w:szCs w:val="18"/>
              </w:rPr>
            </w:pPr>
            <w:r>
              <w:rPr>
                <w:rFonts w:cstheme="minorHAnsi"/>
                <w:sz w:val="18"/>
                <w:szCs w:val="18"/>
              </w:rPr>
              <w:t>Murung Raya</w:t>
            </w:r>
          </w:p>
        </w:tc>
        <w:tc>
          <w:tcPr>
            <w:tcW w:w="1134"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263</w:t>
            </w:r>
          </w:p>
        </w:tc>
        <w:tc>
          <w:tcPr>
            <w:tcW w:w="1205" w:type="dxa"/>
            <w:shd w:val="clear" w:color="auto" w:fill="E5DFEC" w:themeFill="accent4" w:themeFillTint="33"/>
            <w:vAlign w:val="center"/>
            <w:hideMark/>
          </w:tcPr>
          <w:p>
            <w:pPr>
              <w:spacing w:after="0"/>
              <w:jc w:val="right"/>
              <w:rPr>
                <w:rFonts w:cstheme="minorHAnsi"/>
                <w:sz w:val="18"/>
                <w:szCs w:val="18"/>
              </w:rPr>
            </w:pPr>
            <w:r>
              <w:rPr>
                <w:rFonts w:cstheme="minorHAnsi"/>
                <w:sz w:val="18"/>
                <w:szCs w:val="18"/>
              </w:rPr>
              <w:t>10</w:t>
            </w:r>
          </w:p>
        </w:tc>
        <w:tc>
          <w:tcPr>
            <w:tcW w:w="1063" w:type="dxa"/>
            <w:shd w:val="clear" w:color="auto" w:fill="E5DFEC" w:themeFill="accent4" w:themeFillTint="33"/>
            <w:noWrap/>
            <w:vAlign w:val="center"/>
            <w:hideMark/>
          </w:tcPr>
          <w:p>
            <w:pPr>
              <w:spacing w:after="0"/>
              <w:jc w:val="right"/>
              <w:rPr>
                <w:rFonts w:cstheme="minorHAnsi"/>
                <w:color w:val="000000"/>
                <w:sz w:val="18"/>
                <w:szCs w:val="18"/>
              </w:rPr>
            </w:pPr>
            <w:r>
              <w:rPr>
                <w:rFonts w:cstheme="minorHAnsi"/>
                <w:sz w:val="18"/>
                <w:szCs w:val="18"/>
              </w:rPr>
              <w:t>96,34</w:t>
            </w:r>
          </w:p>
        </w:tc>
        <w:tc>
          <w:tcPr>
            <w:tcW w:w="1276" w:type="dxa"/>
            <w:shd w:val="clear" w:color="auto" w:fill="E5DFEC" w:themeFill="accent4" w:themeFillTint="33"/>
            <w:vAlign w:val="center"/>
          </w:tcPr>
          <w:p>
            <w:pPr>
              <w:spacing w:after="0"/>
              <w:jc w:val="right"/>
              <w:rPr>
                <w:rFonts w:cstheme="minorHAnsi"/>
                <w:color w:val="000000"/>
                <w:sz w:val="18"/>
                <w:szCs w:val="18"/>
              </w:rPr>
            </w:pPr>
            <w:r>
              <w:rPr>
                <w:rFonts w:cstheme="minorHAnsi"/>
                <w:sz w:val="18"/>
                <w:szCs w:val="18"/>
              </w:rPr>
              <w:t>3,66</w:t>
            </w:r>
          </w:p>
        </w:tc>
      </w:tr>
      <w:tr>
        <w:trPr>
          <w:trHeight w:val="340"/>
        </w:trPr>
        <w:tc>
          <w:tcPr>
            <w:tcW w:w="1559" w:type="dxa"/>
            <w:shd w:val="clear" w:color="auto" w:fill="EAF1DD" w:themeFill="accent3" w:themeFillTint="33"/>
            <w:vAlign w:val="center"/>
            <w:hideMark/>
          </w:tcPr>
          <w:p>
            <w:pPr>
              <w:spacing w:after="0"/>
              <w:rPr>
                <w:rFonts w:cstheme="minorHAnsi"/>
                <w:sz w:val="18"/>
                <w:szCs w:val="18"/>
              </w:rPr>
            </w:pPr>
            <w:r>
              <w:rPr>
                <w:rFonts w:cstheme="minorHAnsi"/>
                <w:sz w:val="18"/>
                <w:szCs w:val="18"/>
              </w:rPr>
              <w:t>Palangka Raya</w:t>
            </w:r>
          </w:p>
        </w:tc>
        <w:tc>
          <w:tcPr>
            <w:tcW w:w="1134"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409</w:t>
            </w:r>
          </w:p>
        </w:tc>
        <w:tc>
          <w:tcPr>
            <w:tcW w:w="1205" w:type="dxa"/>
            <w:shd w:val="clear" w:color="auto" w:fill="EAF1DD" w:themeFill="accent3" w:themeFillTint="33"/>
            <w:vAlign w:val="center"/>
            <w:hideMark/>
          </w:tcPr>
          <w:p>
            <w:pPr>
              <w:spacing w:after="0"/>
              <w:jc w:val="right"/>
              <w:rPr>
                <w:rFonts w:cstheme="minorHAnsi"/>
                <w:sz w:val="18"/>
                <w:szCs w:val="18"/>
              </w:rPr>
            </w:pPr>
            <w:r>
              <w:rPr>
                <w:rFonts w:cstheme="minorHAnsi"/>
                <w:sz w:val="18"/>
                <w:szCs w:val="18"/>
              </w:rPr>
              <w:t>46</w:t>
            </w:r>
          </w:p>
        </w:tc>
        <w:tc>
          <w:tcPr>
            <w:tcW w:w="1063" w:type="dxa"/>
            <w:shd w:val="clear" w:color="auto" w:fill="EAF1DD" w:themeFill="accent3" w:themeFillTint="33"/>
            <w:noWrap/>
            <w:vAlign w:val="center"/>
            <w:hideMark/>
          </w:tcPr>
          <w:p>
            <w:pPr>
              <w:spacing w:after="0"/>
              <w:jc w:val="right"/>
              <w:rPr>
                <w:rFonts w:cstheme="minorHAnsi"/>
                <w:color w:val="000000"/>
                <w:sz w:val="18"/>
                <w:szCs w:val="18"/>
              </w:rPr>
            </w:pPr>
            <w:r>
              <w:rPr>
                <w:rFonts w:cstheme="minorHAnsi"/>
                <w:sz w:val="18"/>
                <w:szCs w:val="18"/>
              </w:rPr>
              <w:t>89,89</w:t>
            </w:r>
          </w:p>
        </w:tc>
        <w:tc>
          <w:tcPr>
            <w:tcW w:w="1276" w:type="dxa"/>
            <w:shd w:val="clear" w:color="auto" w:fill="EAF1DD" w:themeFill="accent3" w:themeFillTint="33"/>
            <w:vAlign w:val="center"/>
          </w:tcPr>
          <w:p>
            <w:pPr>
              <w:spacing w:after="0"/>
              <w:jc w:val="right"/>
              <w:rPr>
                <w:rFonts w:cstheme="minorHAnsi"/>
                <w:color w:val="000000"/>
                <w:sz w:val="18"/>
                <w:szCs w:val="18"/>
              </w:rPr>
            </w:pPr>
            <w:r>
              <w:rPr>
                <w:rFonts w:cstheme="minorHAnsi"/>
                <w:sz w:val="18"/>
                <w:szCs w:val="18"/>
              </w:rPr>
              <w:t>10,11</w:t>
            </w:r>
          </w:p>
        </w:tc>
      </w:tr>
    </w:tbl>
    <w:p>
      <w:pPr>
        <w:pStyle w:val="Title"/>
        <w:ind w:left="284"/>
        <w:jc w:val="both"/>
        <w:rPr>
          <w:rFonts w:cs="Arial Narrow"/>
          <w:b w:val="0"/>
          <w:i/>
          <w:color w:val="000000" w:themeColor="text1"/>
          <w:sz w:val="18"/>
          <w:szCs w:val="18"/>
          <w:lang w:val="id-ID"/>
        </w:rPr>
      </w:pPr>
      <w:r>
        <w:rPr>
          <w:rFonts w:cs="Arial Narrow"/>
          <w:b w:val="0"/>
          <w:i/>
          <w:color w:val="000000" w:themeColor="text1"/>
          <w:sz w:val="18"/>
          <w:szCs w:val="18"/>
          <w:lang w:val="id-ID"/>
        </w:rPr>
        <w:t>Sumber: Kepolisian Daerah Kalimantan Tengah</w:t>
      </w:r>
    </w:p>
    <w:p>
      <w:pPr>
        <w:pStyle w:val="Title"/>
        <w:spacing w:before="240" w:line="360" w:lineRule="auto"/>
        <w:ind w:left="284" w:firstLine="567"/>
        <w:jc w:val="left"/>
        <w:rPr>
          <w:b w:val="0"/>
          <w:sz w:val="20"/>
        </w:rPr>
      </w:pPr>
      <w:r>
        <w:rPr>
          <w:b w:val="0"/>
          <w:sz w:val="20"/>
          <w:lang w:val="id-ID"/>
        </w:rPr>
        <w:lastRenderedPageBreak/>
        <w:t>Tabel di atas menunjukan jumlah dan presentase anggota kepolisian di masing-masing kabupaten</w:t>
      </w:r>
      <w:r>
        <w:rPr>
          <w:b w:val="0"/>
          <w:sz w:val="20"/>
        </w:rPr>
        <w:t>/kota</w:t>
      </w:r>
      <w:r>
        <w:rPr>
          <w:b w:val="0"/>
          <w:sz w:val="20"/>
          <w:lang w:val="id-ID"/>
        </w:rPr>
        <w:t xml:space="preserve"> dan Polda Kalimantan Tengah. Secara umum </w:t>
      </w:r>
      <w:r>
        <w:rPr>
          <w:b w:val="0"/>
          <w:sz w:val="20"/>
        </w:rPr>
        <w:t>persentase</w:t>
      </w:r>
      <w:r>
        <w:rPr>
          <w:b w:val="0"/>
          <w:sz w:val="20"/>
          <w:lang w:val="id-ID"/>
        </w:rPr>
        <w:t xml:space="preserve"> anggota </w:t>
      </w:r>
      <w:r>
        <w:rPr>
          <w:b w:val="0"/>
          <w:sz w:val="20"/>
        </w:rPr>
        <w:t>p</w:t>
      </w:r>
      <w:r>
        <w:rPr>
          <w:b w:val="0"/>
          <w:sz w:val="20"/>
          <w:lang w:val="id-ID"/>
        </w:rPr>
        <w:t xml:space="preserve">olisi wanita </w:t>
      </w:r>
      <w:r>
        <w:rPr>
          <w:b w:val="0"/>
          <w:sz w:val="20"/>
        </w:rPr>
        <w:t>masih</w:t>
      </w:r>
      <w:r>
        <w:rPr>
          <w:b w:val="0"/>
          <w:sz w:val="20"/>
          <w:lang w:val="id-ID"/>
        </w:rPr>
        <w:t xml:space="preserve"> rendah</w:t>
      </w:r>
      <w:r>
        <w:rPr>
          <w:b w:val="0"/>
          <w:sz w:val="20"/>
        </w:rPr>
        <w:t>,</w:t>
      </w:r>
      <w:r>
        <w:rPr>
          <w:b w:val="0"/>
          <w:sz w:val="20"/>
          <w:lang w:val="id-ID"/>
        </w:rPr>
        <w:t xml:space="preserve"> yaitu masih di bawah </w:t>
      </w:r>
      <w:r>
        <w:rPr>
          <w:b w:val="0"/>
          <w:sz w:val="20"/>
        </w:rPr>
        <w:t>delapan</w:t>
      </w:r>
      <w:r>
        <w:rPr>
          <w:b w:val="0"/>
          <w:sz w:val="20"/>
          <w:lang w:val="id-ID"/>
        </w:rPr>
        <w:t xml:space="preserve"> persen</w:t>
      </w:r>
      <w:r>
        <w:rPr>
          <w:b w:val="0"/>
          <w:sz w:val="20"/>
        </w:rPr>
        <w:t>.</w:t>
      </w:r>
    </w:p>
    <w:p>
      <w:pPr>
        <w:pStyle w:val="Title"/>
        <w:spacing w:before="240" w:line="360" w:lineRule="auto"/>
        <w:ind w:left="284" w:firstLine="567"/>
        <w:jc w:val="left"/>
        <w:rPr>
          <w:b w:val="0"/>
          <w:sz w:val="20"/>
        </w:rPr>
      </w:pPr>
    </w:p>
    <w:p>
      <w:pPr>
        <w:pStyle w:val="Heading2"/>
        <w:numPr>
          <w:ilvl w:val="0"/>
          <w:numId w:val="0"/>
        </w:numPr>
        <w:ind w:left="502" w:hanging="360"/>
        <w:rPr>
          <w:lang w:val="en-US"/>
        </w:rPr>
      </w:pPr>
      <w:bookmarkStart w:id="100" w:name="_Toc118715998"/>
      <w:r>
        <w:rPr>
          <w:lang w:val="en-US"/>
        </w:rPr>
        <w:t>6.3 Partisipasi di Lembaga EKsekutif</w:t>
      </w:r>
      <w:bookmarkEnd w:id="100"/>
    </w:p>
    <w:p>
      <w:pPr>
        <w:spacing w:after="0" w:line="360" w:lineRule="auto"/>
        <w:ind w:left="284" w:firstLine="567"/>
        <w:jc w:val="both"/>
        <w:rPr>
          <w:rFonts w:cs="Arial Narrow"/>
          <w:sz w:val="20"/>
          <w:szCs w:val="20"/>
        </w:rPr>
      </w:pPr>
      <w:r>
        <w:rPr>
          <w:rFonts w:cs="Arial Narrow"/>
          <w:spacing w:val="-2"/>
          <w:sz w:val="20"/>
          <w:szCs w:val="20"/>
        </w:rPr>
        <w:t xml:space="preserve">Pemberlakuan Otonomi Daerah membuat </w:t>
      </w:r>
      <w:r>
        <w:rPr>
          <w:rFonts w:cs="Arial Narrow"/>
          <w:spacing w:val="3"/>
          <w:sz w:val="20"/>
          <w:szCs w:val="20"/>
        </w:rPr>
        <w:t xml:space="preserve">berbagai wewenang yang selama ini menjadi otoritas Pemerintah Pusat dikelola secara </w:t>
      </w:r>
      <w:r>
        <w:rPr>
          <w:rFonts w:cs="Arial Narrow"/>
          <w:spacing w:val="1"/>
          <w:sz w:val="20"/>
          <w:szCs w:val="20"/>
        </w:rPr>
        <w:t>otonom oleh Pemerintah Daerah. Dengan kewenangan tersebut, kebijakan-kebijakan daerah</w:t>
      </w:r>
      <w:r>
        <w:rPr>
          <w:noProof/>
          <w:lang w:val="en-ID" w:eastAsia="en-ID"/>
        </w:rPr>
        <mc:AlternateContent>
          <mc:Choice Requires="wps">
            <w:drawing>
              <wp:anchor distT="0" distB="0" distL="0" distR="0" simplePos="0" relativeHeight="251691520" behindDoc="1" locked="0" layoutInCell="0" allowOverlap="1">
                <wp:simplePos x="0" y="0"/>
                <wp:positionH relativeFrom="page">
                  <wp:posOffset>571500</wp:posOffset>
                </wp:positionH>
                <wp:positionV relativeFrom="page">
                  <wp:posOffset>8268970</wp:posOffset>
                </wp:positionV>
                <wp:extent cx="579120" cy="3365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3655"/>
                        </a:xfrm>
                        <a:prstGeom prst="rect">
                          <a:avLst/>
                        </a:prstGeom>
                        <a:solidFill>
                          <a:srgbClr val="FFFFFF">
                            <a:alpha val="0"/>
                          </a:srgbClr>
                        </a:solidFill>
                        <a:ln>
                          <a:noFill/>
                        </a:ln>
                      </wps:spPr>
                      <wps:txbx>
                        <w:txbxContent>
                          <w:p>
                            <w:pPr>
                              <w:spacing w:line="260" w:lineRule="atLeast"/>
                              <w:jc w:val="center"/>
                            </w:pPr>
                            <w:r>
                              <w:rPr>
                                <w:noProof/>
                                <w:lang w:val="en-ID" w:eastAsia="en-ID"/>
                              </w:rPr>
                              <w:drawing>
                                <wp:inline distT="0" distB="0" distL="0" distR="0">
                                  <wp:extent cx="581025" cy="161925"/>
                                  <wp:effectExtent l="19050" t="0" r="9525" b="0"/>
                                  <wp:docPr id="15" name="Picture 1"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5"/>
                                          <pic:cNvPicPr>
                                            <a:picLocks noChangeAspect="1" noChangeArrowheads="1"/>
                                          </pic:cNvPicPr>
                                        </pic:nvPicPr>
                                        <pic:blipFill>
                                          <a:blip r:embed="rId51"/>
                                          <a:srcRect/>
                                          <a:stretch>
                                            <a:fillRect/>
                                          </a:stretch>
                                        </pic:blipFill>
                                        <pic:spPr bwMode="auto">
                                          <a:xfrm>
                                            <a:off x="0" y="0"/>
                                            <a:ext cx="581025" cy="1619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left:0;text-align:left;margin-left:45pt;margin-top:651.1pt;width:45.6pt;height:2.6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" o:allowincell="f" stroked="f">
                <v:fill opacity="0"/>
                <v:textbox inset="0,0,0,0">
                  <w:txbxContent>
                    <w:p>
                      <w:pPr>
                        <w:spacing w:line="260" w:lineRule="atLeast"/>
                        <w:jc w:val="center"/>
                      </w:pPr>
                      <w:r>
                        <w:rPr>
                          <w:noProof/>
                          <w:lang w:val="en-ID" w:eastAsia="en-ID"/>
                        </w:rPr>
                        <w:drawing>
                          <wp:inline distT="0" distB="0" distL="0" distR="0">
                            <wp:extent cx="581025" cy="161925"/>
                            <wp:effectExtent l="19050" t="0" r="9525" b="0"/>
                            <wp:docPr id="15" name="Picture 1"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5"/>
                                    <pic:cNvPicPr>
                                      <a:picLocks noChangeAspect="1" noChangeArrowheads="1"/>
                                    </pic:cNvPicPr>
                                  </pic:nvPicPr>
                                  <pic:blipFill>
                                    <a:blip r:embed="rId52"/>
                                    <a:srcRect/>
                                    <a:stretch>
                                      <a:fillRect/>
                                    </a:stretch>
                                  </pic:blipFill>
                                  <pic:spPr bwMode="auto">
                                    <a:xfrm>
                                      <a:off x="0" y="0"/>
                                      <a:ext cx="581025" cy="161925"/>
                                    </a:xfrm>
                                    <a:prstGeom prst="rect">
                                      <a:avLst/>
                                    </a:prstGeom>
                                    <a:noFill/>
                                    <a:ln w="9525">
                                      <a:noFill/>
                                      <a:miter lim="800000"/>
                                      <a:headEnd/>
                                      <a:tailEnd/>
                                    </a:ln>
                                  </pic:spPr>
                                </pic:pic>
                              </a:graphicData>
                            </a:graphic>
                          </wp:inline>
                        </w:drawing>
                      </w:r>
                    </w:p>
                  </w:txbxContent>
                </v:textbox>
                <w10:wrap anchorx="page" anchory="page"/>
              </v:shape>
            </w:pict>
          </mc:Fallback>
        </mc:AlternateContent>
      </w:r>
      <w:r>
        <w:rPr>
          <w:noProof/>
          <w:lang w:val="en-ID" w:eastAsia="en-ID"/>
        </w:rPr>
        <mc:AlternateContent>
          <mc:Choice Requires="wps">
            <w:drawing>
              <wp:anchor distT="0" distB="0" distL="0" distR="0" simplePos="0" relativeHeight="251692544" behindDoc="0" locked="0" layoutInCell="0" allowOverlap="1">
                <wp:simplePos x="0" y="0"/>
                <wp:positionH relativeFrom="page">
                  <wp:posOffset>1150620</wp:posOffset>
                </wp:positionH>
                <wp:positionV relativeFrom="page">
                  <wp:posOffset>8268970</wp:posOffset>
                </wp:positionV>
                <wp:extent cx="4041775" cy="33655"/>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33655"/>
                        </a:xfrm>
                        <a:prstGeom prst="rect">
                          <a:avLst/>
                        </a:prstGeom>
                        <a:solidFill>
                          <a:srgbClr val="FFFFFF">
                            <a:alpha val="0"/>
                          </a:srgbClr>
                        </a:solidFill>
                        <a:ln>
                          <a:noFill/>
                        </a:ln>
                      </wps:spPr>
                      <wps:txbx>
                        <w:txbxContent>
                          <w:p>
                            <w:pPr>
                              <w:spacing w:line="260" w:lineRule="atLeast"/>
                              <w:jc w:val="center"/>
                            </w:pPr>
                            <w:r>
                              <w:rPr>
                                <w:noProof/>
                                <w:lang w:val="en-ID" w:eastAsia="en-ID"/>
                              </w:rPr>
                              <w:drawing>
                                <wp:inline distT="0" distB="0" distL="0" distR="0">
                                  <wp:extent cx="4038600" cy="161925"/>
                                  <wp:effectExtent l="19050" t="0" r="0" b="0"/>
                                  <wp:docPr id="17" name="Picture 2"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17"/>
                                          <pic:cNvPicPr>
                                            <a:picLocks noChangeAspect="1" noChangeArrowheads="1"/>
                                          </pic:cNvPicPr>
                                        </pic:nvPicPr>
                                        <pic:blipFill>
                                          <a:blip r:embed="rId53"/>
                                          <a:srcRect/>
                                          <a:stretch>
                                            <a:fillRect/>
                                          </a:stretch>
                                        </pic:blipFill>
                                        <pic:spPr bwMode="auto">
                                          <a:xfrm>
                                            <a:off x="0" y="0"/>
                                            <a:ext cx="4038600" cy="1619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left:0;text-align:left;margin-left:90.6pt;margin-top:651.1pt;width:318.25pt;height:2.6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" o:allowincell="f" stroked="f">
                <v:fill opacity="0"/>
                <v:textbox inset="0,0,0,0">
                  <w:txbxContent>
                    <w:p>
                      <w:pPr>
                        <w:spacing w:line="260" w:lineRule="atLeast"/>
                        <w:jc w:val="center"/>
                      </w:pPr>
                      <w:r>
                        <w:rPr>
                          <w:noProof/>
                          <w:lang w:val="en-ID" w:eastAsia="en-ID"/>
                        </w:rPr>
                        <w:drawing>
                          <wp:inline distT="0" distB="0" distL="0" distR="0">
                            <wp:extent cx="4038600" cy="161925"/>
                            <wp:effectExtent l="19050" t="0" r="0" b="0"/>
                            <wp:docPr id="17" name="Picture 2"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17"/>
                                    <pic:cNvPicPr>
                                      <a:picLocks noChangeAspect="1" noChangeArrowheads="1"/>
                                    </pic:cNvPicPr>
                                  </pic:nvPicPr>
                                  <pic:blipFill>
                                    <a:blip r:embed="rId54"/>
                                    <a:srcRect/>
                                    <a:stretch>
                                      <a:fillRect/>
                                    </a:stretch>
                                  </pic:blipFill>
                                  <pic:spPr bwMode="auto">
                                    <a:xfrm>
                                      <a:off x="0" y="0"/>
                                      <a:ext cx="4038600" cy="16192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rFonts w:cs="Arial Narrow"/>
          <w:spacing w:val="-1"/>
          <w:sz w:val="20"/>
          <w:szCs w:val="20"/>
        </w:rPr>
        <w:t>akan dibuat lebih dekat dan kontekstual dengan kebutuhan masyarakat. Implikasinya, daerah</w:t>
      </w:r>
      <w:r>
        <w:rPr>
          <w:rFonts w:cs="Arial Narrow"/>
          <w:spacing w:val="-1"/>
          <w:sz w:val="20"/>
          <w:szCs w:val="20"/>
        </w:rPr>
        <w:softHyphen/>
        <w:t xml:space="preserve">-daerah pada tingkat Provinsi dan Kabupaten/Kota yang wilayahnya terlalu besar dimekarkan </w:t>
      </w:r>
      <w:r>
        <w:rPr>
          <w:rFonts w:cs="Arial Narrow"/>
          <w:sz w:val="20"/>
          <w:szCs w:val="20"/>
        </w:rPr>
        <w:t xml:space="preserve">menjadi beberapa daerah untuk efektifitas pemerintahan daerah. </w:t>
      </w:r>
      <w:r>
        <w:rPr>
          <w:rFonts w:cs="Arial Narrow"/>
          <w:spacing w:val="-3"/>
          <w:sz w:val="20"/>
          <w:szCs w:val="20"/>
        </w:rPr>
        <w:t xml:space="preserve">Dinamika politik lokal juga ditandai dengan keleluasaan masyarakat memilih pemimpin seperti </w:t>
      </w:r>
      <w:r>
        <w:rPr>
          <w:rFonts w:cs="Arial Narrow"/>
          <w:sz w:val="20"/>
          <w:szCs w:val="20"/>
        </w:rPr>
        <w:t>Gubernur, Bupati/Walikota secara langsung melalui Pilkada.</w:t>
      </w:r>
    </w:p>
    <w:p>
      <w:pPr>
        <w:pStyle w:val="Title"/>
        <w:spacing w:line="360" w:lineRule="auto"/>
        <w:ind w:left="284" w:firstLine="567"/>
        <w:jc w:val="both"/>
        <w:rPr>
          <w:rFonts w:cs="Arial Narrow"/>
          <w:b w:val="0"/>
          <w:sz w:val="20"/>
          <w:lang w:val="id-ID"/>
        </w:rPr>
      </w:pPr>
      <w:r>
        <w:rPr>
          <w:rFonts w:cs="Arial Narrow"/>
          <w:b w:val="0"/>
          <w:spacing w:val="-1"/>
          <w:sz w:val="20"/>
          <w:lang w:val="id-ID"/>
        </w:rPr>
        <w:t xml:space="preserve">Indonesia telah menempuh berbagai langkah untuk mewujudkan aparatur negara yang </w:t>
      </w:r>
      <w:r>
        <w:rPr>
          <w:rFonts w:cs="Arial Narrow"/>
          <w:b w:val="0"/>
          <w:sz w:val="20"/>
          <w:lang w:val="id-ID"/>
        </w:rPr>
        <w:t>bersih dan berwibawa. Dari aspek regulasi dimulai dengan beberapa pengesahan Undang</w:t>
      </w:r>
      <w:r>
        <w:rPr>
          <w:rFonts w:cs="Arial Narrow"/>
          <w:b w:val="0"/>
          <w:sz w:val="20"/>
          <w:lang w:val="id-ID"/>
        </w:rPr>
        <w:softHyphen/>
        <w:t xml:space="preserve">Undang seperti UU No. 39/2008 tentang Kementerian Negara yang berisi pengaturan agar </w:t>
      </w:r>
      <w:r>
        <w:rPr>
          <w:rFonts w:cs="Arial Narrow"/>
          <w:b w:val="0"/>
          <w:spacing w:val="4"/>
          <w:sz w:val="20"/>
          <w:lang w:val="id-ID"/>
        </w:rPr>
        <w:t xml:space="preserve">struktur lembaga dapat efektif dan efisien. Demikian juga dengan disahkannya UU No. </w:t>
      </w:r>
      <w:r>
        <w:rPr>
          <w:rFonts w:cs="Arial Narrow"/>
          <w:b w:val="0"/>
          <w:spacing w:val="2"/>
          <w:sz w:val="20"/>
          <w:lang w:val="id-ID"/>
        </w:rPr>
        <w:t xml:space="preserve">25/2009 tentang Pelayanan Publik, serta UU No. 14/2008 tentang Keterbukaan Informasi Publik, merupakan bagian dari usaha mempercepat reformasi birokrasi. Dalam itikad yang </w:t>
      </w:r>
      <w:r>
        <w:rPr>
          <w:rFonts w:cs="Arial Narrow"/>
          <w:b w:val="0"/>
          <w:spacing w:val="6"/>
          <w:sz w:val="20"/>
          <w:lang w:val="id-ID"/>
        </w:rPr>
        <w:t xml:space="preserve">sama, terdapat 7 Undang-Undang lain yang masih dalam proses pembahasan; RUU </w:t>
      </w:r>
      <w:r>
        <w:rPr>
          <w:rFonts w:cs="Arial Narrow"/>
          <w:b w:val="0"/>
          <w:spacing w:val="1"/>
          <w:sz w:val="20"/>
          <w:lang w:val="id-ID"/>
        </w:rPr>
        <w:t xml:space="preserve">Administrasi </w:t>
      </w:r>
      <w:r>
        <w:rPr>
          <w:rFonts w:cs="Arial Narrow"/>
          <w:b w:val="0"/>
          <w:spacing w:val="1"/>
          <w:sz w:val="20"/>
          <w:lang w:val="id-ID"/>
        </w:rPr>
        <w:lastRenderedPageBreak/>
        <w:t xml:space="preserve">Pemerintahan, RUU Etika Penyelenggara Negara, RUU Sistem Pengawasan </w:t>
      </w:r>
      <w:r>
        <w:rPr>
          <w:rFonts w:cs="Arial Narrow"/>
          <w:b w:val="0"/>
          <w:spacing w:val="-1"/>
          <w:sz w:val="20"/>
          <w:lang w:val="id-ID"/>
        </w:rPr>
        <w:t xml:space="preserve">Nasional, RUU Akuntabilitas Penyelenggara Negara, RUU Kepegawaian Negara, RUU Tata </w:t>
      </w:r>
      <w:r>
        <w:rPr>
          <w:rFonts w:cs="Arial Narrow"/>
          <w:b w:val="0"/>
          <w:spacing w:val="3"/>
          <w:sz w:val="20"/>
          <w:lang w:val="id-ID"/>
        </w:rPr>
        <w:t xml:space="preserve">Hubungan Kewenangan Antara Pemerintah Pusat Dengan Pemerintah Daerah, Antara </w:t>
      </w:r>
      <w:r>
        <w:rPr>
          <w:rFonts w:cs="Arial Narrow"/>
          <w:b w:val="0"/>
          <w:spacing w:val="-1"/>
          <w:sz w:val="20"/>
          <w:lang w:val="id-ID"/>
        </w:rPr>
        <w:t xml:space="preserve">Pemerintah Daerah Provinsi Dengan Pemerintah Daerah Kabupaten/Kota, serta RUU Badan </w:t>
      </w:r>
      <w:r>
        <w:rPr>
          <w:rFonts w:cs="Arial Narrow"/>
          <w:b w:val="0"/>
          <w:sz w:val="20"/>
          <w:lang w:val="id-ID"/>
        </w:rPr>
        <w:t>Layanan Umum.</w:t>
      </w:r>
    </w:p>
    <w:p>
      <w:pPr>
        <w:pStyle w:val="BodyTextIndent2"/>
        <w:spacing w:after="0" w:line="360" w:lineRule="auto"/>
        <w:ind w:left="284" w:firstLine="567"/>
        <w:jc w:val="both"/>
        <w:rPr>
          <w:rFonts w:asciiTheme="minorHAnsi" w:hAnsiTheme="minorHAnsi" w:cs="Arial Narrow"/>
          <w:spacing w:val="9"/>
          <w:sz w:val="20"/>
          <w:lang w:val="id-ID"/>
        </w:rPr>
      </w:pPr>
      <w:r>
        <w:rPr>
          <w:rFonts w:asciiTheme="minorHAnsi" w:hAnsiTheme="minorHAnsi" w:cs="Arial Narrow"/>
          <w:spacing w:val="-4"/>
          <w:sz w:val="20"/>
          <w:lang w:val="id-ID"/>
        </w:rPr>
        <w:t xml:space="preserve">Usaha untuk meningkatkan kinerja aparatur negara, Kementerian Aparatur Negara dan Reformasi Birokrasi (KEMENPAN &amp; RB) dengan penyempurnaan dan pengembangan jabatan </w:t>
      </w:r>
      <w:r>
        <w:rPr>
          <w:rFonts w:asciiTheme="minorHAnsi" w:hAnsiTheme="minorHAnsi" w:cs="Arial Narrow"/>
          <w:spacing w:val="2"/>
          <w:sz w:val="20"/>
          <w:lang w:val="id-ID"/>
        </w:rPr>
        <w:t xml:space="preserve">fungsional, pengembangan sistem penilaian prestasi kerja PNS, serta pengembangan pola </w:t>
      </w:r>
      <w:r>
        <w:rPr>
          <w:rFonts w:asciiTheme="minorHAnsi" w:hAnsiTheme="minorHAnsi" w:cs="Arial Narrow"/>
          <w:spacing w:val="9"/>
          <w:sz w:val="20"/>
          <w:lang w:val="id-ID"/>
        </w:rPr>
        <w:t xml:space="preserve">karir dalam jabatan struktural (Renstra KEMENPAN &amp; RB 2010-2014:8). Langkah </w:t>
      </w:r>
      <w:r>
        <w:rPr>
          <w:rFonts w:asciiTheme="minorHAnsi" w:hAnsiTheme="minorHAnsi" w:cs="Arial Narrow"/>
          <w:spacing w:val="-1"/>
          <w:sz w:val="20"/>
          <w:lang w:val="id-ID"/>
        </w:rPr>
        <w:t xml:space="preserve">memperbanyak tenaga fungsional dan pengembangan sistem penilaian prestasi kerja dapat </w:t>
      </w:r>
      <w:r>
        <w:rPr>
          <w:rFonts w:asciiTheme="minorHAnsi" w:hAnsiTheme="minorHAnsi" w:cs="Arial Narrow"/>
          <w:spacing w:val="5"/>
          <w:sz w:val="20"/>
          <w:lang w:val="id-ID"/>
        </w:rPr>
        <w:t xml:space="preserve">membantu membangun budaya organisasi yang lebih sehat. Bukan hanya berdampak </w:t>
      </w:r>
      <w:r>
        <w:rPr>
          <w:rFonts w:asciiTheme="minorHAnsi" w:hAnsiTheme="minorHAnsi" w:cs="Arial Narrow"/>
          <w:spacing w:val="1"/>
          <w:sz w:val="20"/>
          <w:lang w:val="id-ID"/>
        </w:rPr>
        <w:t xml:space="preserve">internal, budaya organisasi yang sehat juga dapat mendukung kemampuan aparatur negara </w:t>
      </w:r>
      <w:r>
        <w:rPr>
          <w:rFonts w:asciiTheme="minorHAnsi" w:hAnsiTheme="minorHAnsi" w:cs="Arial Narrow"/>
          <w:spacing w:val="9"/>
          <w:sz w:val="20"/>
          <w:lang w:val="id-ID"/>
        </w:rPr>
        <w:t>dan lembaga pemerintah untuk adaptif terhadap tantangan eksternal.</w:t>
      </w:r>
    </w:p>
    <w:p>
      <w:pPr>
        <w:pStyle w:val="Title"/>
        <w:spacing w:line="360" w:lineRule="auto"/>
        <w:ind w:left="284" w:firstLine="567"/>
        <w:jc w:val="both"/>
        <w:rPr>
          <w:rFonts w:cs="Arial Narrow"/>
          <w:b w:val="0"/>
          <w:spacing w:val="-2"/>
          <w:sz w:val="20"/>
        </w:rPr>
      </w:pPr>
      <w:r>
        <w:rPr>
          <w:rFonts w:cs="Arial Narrow"/>
          <w:b w:val="0"/>
          <w:spacing w:val="4"/>
          <w:sz w:val="20"/>
          <w:lang w:val="id-ID"/>
        </w:rPr>
        <w:t xml:space="preserve">Penataan dan distribusi sumber daya manusia aparatur negara juga mendapat </w:t>
      </w:r>
      <w:r>
        <w:rPr>
          <w:rFonts w:cs="Arial Narrow"/>
          <w:b w:val="0"/>
          <w:spacing w:val="-1"/>
          <w:sz w:val="20"/>
          <w:lang w:val="id-ID"/>
        </w:rPr>
        <w:t xml:space="preserve">perhatian yang besar. Pada 24 Agustus 2011 ditandatangani surat keputusan bersama (SKB) antara Menteri Keuangan, Menteri dalam Negeri dan Menteri Pemberdayaan Aparatur Negara untuk moratorium penerimaan PNS yang berlaku dari tanggal 1 September 2011 hingga 31 </w:t>
      </w:r>
      <w:r>
        <w:rPr>
          <w:rFonts w:cs="Arial Narrow"/>
          <w:b w:val="0"/>
          <w:sz w:val="20"/>
          <w:lang w:val="id-ID"/>
        </w:rPr>
        <w:t xml:space="preserve">Desember 2012. Demikian juga dengan munculnya himbauan untuk pensiun dini bagi PNS, </w:t>
      </w:r>
      <w:r>
        <w:rPr>
          <w:rFonts w:cs="Arial Narrow"/>
          <w:b w:val="0"/>
          <w:spacing w:val="8"/>
          <w:sz w:val="20"/>
          <w:lang w:val="id-ID"/>
        </w:rPr>
        <w:t xml:space="preserve">menjadi sebuah kesatuan untuk melakukan perampingan dan penataan organisasi </w:t>
      </w:r>
      <w:r>
        <w:rPr>
          <w:rFonts w:cs="Arial Narrow"/>
          <w:b w:val="0"/>
          <w:sz w:val="20"/>
          <w:lang w:val="id-ID"/>
        </w:rPr>
        <w:t xml:space="preserve">pemerintahan. Rekruitmen PNS baru diproyeksikan melalui analisis kebutuhan jabatan yang </w:t>
      </w:r>
      <w:r>
        <w:rPr>
          <w:rFonts w:cs="Arial Narrow"/>
          <w:b w:val="0"/>
          <w:spacing w:val="-3"/>
          <w:sz w:val="20"/>
          <w:lang w:val="id-ID"/>
        </w:rPr>
        <w:t xml:space="preserve">ketat serta berbasis kompetensi yang dibutuhkan organisasi. Standar tingkat pendidikan yang </w:t>
      </w:r>
      <w:r>
        <w:rPr>
          <w:rFonts w:cs="Arial Narrow"/>
          <w:b w:val="0"/>
          <w:spacing w:val="-1"/>
          <w:sz w:val="20"/>
          <w:lang w:val="id-ID"/>
        </w:rPr>
        <w:lastRenderedPageBreak/>
        <w:t xml:space="preserve">dibutuhkan juga semakin tinggi. Dengan terbitnya PP No. 48 Tahun 2005 jo. PP No. 43 Tahun </w:t>
      </w:r>
      <w:r>
        <w:rPr>
          <w:rFonts w:cs="Arial Narrow"/>
          <w:b w:val="0"/>
          <w:spacing w:val="5"/>
          <w:sz w:val="20"/>
          <w:lang w:val="id-ID"/>
        </w:rPr>
        <w:t xml:space="preserve">2007, pemerintah memutuskan untuk mengangkat semua tenaga honorer yang telah </w:t>
      </w:r>
      <w:r>
        <w:rPr>
          <w:rFonts w:cs="Arial Narrow"/>
          <w:b w:val="0"/>
          <w:spacing w:val="-1"/>
          <w:sz w:val="20"/>
          <w:lang w:val="id-ID"/>
        </w:rPr>
        <w:t xml:space="preserve">bertahun-tahun bekerja. Sejak dikeluarkannya peraturan tersebut, seluruh pimpinan instansi </w:t>
      </w:r>
      <w:r>
        <w:rPr>
          <w:rFonts w:cs="Arial Narrow"/>
          <w:b w:val="0"/>
          <w:spacing w:val="2"/>
          <w:sz w:val="20"/>
          <w:lang w:val="id-ID"/>
        </w:rPr>
        <w:t xml:space="preserve">pemerintah dilarang untuk mengangkat tenaga honorer, kecuali diatur dalam Peraturan </w:t>
      </w:r>
      <w:r>
        <w:rPr>
          <w:rFonts w:cs="Arial Narrow"/>
          <w:b w:val="0"/>
          <w:spacing w:val="-2"/>
          <w:sz w:val="20"/>
          <w:lang w:val="id-ID"/>
        </w:rPr>
        <w:t>Pemerintah.</w:t>
      </w:r>
    </w:p>
    <w:p>
      <w:pPr>
        <w:pStyle w:val="Title"/>
        <w:spacing w:line="360" w:lineRule="auto"/>
        <w:ind w:left="284" w:firstLine="567"/>
        <w:jc w:val="both"/>
        <w:rPr>
          <w:b w:val="0"/>
          <w:color w:val="000000" w:themeColor="text1"/>
          <w:sz w:val="20"/>
          <w:lang w:val="id-ID"/>
        </w:rPr>
      </w:pPr>
      <w:r>
        <w:rPr>
          <w:b w:val="0"/>
          <w:color w:val="000000" w:themeColor="text1"/>
          <w:sz w:val="20"/>
          <w:lang w:val="id-ID"/>
        </w:rPr>
        <w:t xml:space="preserve">Dari tabel </w:t>
      </w:r>
      <w:r>
        <w:rPr>
          <w:b w:val="0"/>
          <w:color w:val="000000" w:themeColor="text1"/>
          <w:sz w:val="20"/>
        </w:rPr>
        <w:t>berikut</w:t>
      </w:r>
      <w:r>
        <w:rPr>
          <w:b w:val="0"/>
          <w:color w:val="000000" w:themeColor="text1"/>
          <w:sz w:val="20"/>
          <w:lang w:val="id-ID"/>
        </w:rPr>
        <w:t xml:space="preserve"> terlihat bahwa pegawai yang menduduki jabatan baik Eselon IV sampai Eselon II masih didominasi oleh laki-laki, dimana persentasenya di atas 60 persen. Hal yang sama terlihat pada pemerintah kabupaten/kota maupun provinsi. Mengingat masih sedikitnya perempuan yang menduduki jabatan eselon perlu dikaji lagi lebih dalam, apakah hal tersebut terjadi karena kurangnya SDM perempuan yang berkualitas atau dipandang kurang cakap dalam pekerjaannya ataupun masih terjadi adanya diskriminasi gender.</w:t>
      </w: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pStyle w:val="Caption"/>
        <w:ind w:left="1418" w:hanging="1134"/>
        <w:rPr>
          <w:b/>
          <w:bCs/>
          <w:i w:val="0"/>
          <w:iCs w:val="0"/>
          <w:color w:val="000000" w:themeColor="text1"/>
          <w:sz w:val="20"/>
          <w:szCs w:val="20"/>
        </w:rPr>
      </w:pPr>
    </w:p>
    <w:p/>
    <w:p>
      <w:pPr>
        <w:ind w:left="1418" w:hanging="1134"/>
        <w:jc w:val="both"/>
        <w:rPr>
          <w:b/>
          <w:bCs/>
          <w:color w:val="000000" w:themeColor="text1"/>
          <w:sz w:val="20"/>
          <w:szCs w:val="20"/>
        </w:rPr>
      </w:pPr>
      <w:bookmarkStart w:id="101" w:name="_Toc117550295"/>
      <w:r>
        <w:rPr>
          <w:b/>
          <w:bCs/>
          <w:color w:val="000000" w:themeColor="text1"/>
          <w:sz w:val="20"/>
          <w:szCs w:val="20"/>
        </w:rPr>
        <w:t xml:space="preserve">Tabel 6. </w:t>
      </w:r>
      <w:r>
        <w:rPr>
          <w:b/>
          <w:bCs/>
          <w:i/>
          <w:iCs/>
          <w:color w:val="000000" w:themeColor="text1"/>
          <w:sz w:val="20"/>
          <w:szCs w:val="20"/>
        </w:rPr>
        <w:fldChar w:fldCharType="begin"/>
      </w:r>
      <w:r>
        <w:rPr>
          <w:b/>
          <w:bCs/>
          <w:color w:val="000000" w:themeColor="text1"/>
          <w:sz w:val="20"/>
          <w:szCs w:val="20"/>
        </w:rPr>
        <w:instrText xml:space="preserve"> SEQ Tabel_6. \* ARABIC </w:instrText>
      </w:r>
      <w:r>
        <w:rPr>
          <w:b/>
          <w:bCs/>
          <w:i/>
          <w:iCs/>
          <w:color w:val="000000" w:themeColor="text1"/>
          <w:sz w:val="20"/>
          <w:szCs w:val="20"/>
        </w:rPr>
        <w:fldChar w:fldCharType="separate"/>
      </w:r>
      <w:r>
        <w:rPr>
          <w:b/>
          <w:bCs/>
          <w:noProof/>
          <w:color w:val="000000" w:themeColor="text1"/>
          <w:sz w:val="20"/>
          <w:szCs w:val="20"/>
        </w:rPr>
        <w:t>4</w:t>
      </w:r>
      <w:r>
        <w:rPr>
          <w:b/>
          <w:bCs/>
          <w:i/>
          <w:iCs/>
          <w:color w:val="000000" w:themeColor="text1"/>
          <w:sz w:val="20"/>
          <w:szCs w:val="20"/>
        </w:rPr>
        <w:fldChar w:fldCharType="end"/>
      </w:r>
      <w:r>
        <w:rPr>
          <w:b/>
          <w:bCs/>
          <w:color w:val="000000" w:themeColor="text1"/>
          <w:sz w:val="20"/>
          <w:szCs w:val="20"/>
        </w:rPr>
        <w:tab/>
      </w:r>
      <w:r>
        <w:rPr>
          <w:b/>
          <w:bCs/>
          <w:color w:val="000000" w:themeColor="text1"/>
          <w:sz w:val="20"/>
          <w:szCs w:val="20"/>
        </w:rPr>
        <w:tab/>
        <w:t xml:space="preserve">Jumlah </w:t>
      </w:r>
      <w:r>
        <w:rPr>
          <w:b/>
          <w:bCs/>
          <w:color w:val="000000" w:themeColor="text1"/>
          <w:sz w:val="20"/>
          <w:szCs w:val="20"/>
          <w:lang w:val="en-US"/>
        </w:rPr>
        <w:t>Pegawai Negeri Sipil yang Menduduki Jabatan</w:t>
      </w:r>
      <w:r>
        <w:rPr>
          <w:b/>
          <w:bCs/>
          <w:color w:val="000000" w:themeColor="text1"/>
          <w:sz w:val="20"/>
          <w:szCs w:val="20"/>
        </w:rPr>
        <w:t xml:space="preserve"> Menurut Kabupaten/Kota</w:t>
      </w:r>
      <w:r>
        <w:rPr>
          <w:b/>
          <w:bCs/>
          <w:color w:val="000000" w:themeColor="text1"/>
          <w:sz w:val="20"/>
          <w:szCs w:val="20"/>
          <w:lang w:val="en-US"/>
        </w:rPr>
        <w:t xml:space="preserve"> di Provinsi Kalimantan Tengah</w:t>
      </w:r>
      <w:r>
        <w:rPr>
          <w:b/>
          <w:bCs/>
          <w:color w:val="000000" w:themeColor="text1"/>
          <w:sz w:val="20"/>
          <w:szCs w:val="20"/>
        </w:rPr>
        <w:t xml:space="preserve"> dan Jenis Kelamin, </w:t>
      </w:r>
      <w:r>
        <w:rPr>
          <w:b/>
          <w:bCs/>
          <w:color w:val="000000" w:themeColor="text1"/>
          <w:sz w:val="20"/>
          <w:szCs w:val="20"/>
          <w:lang w:val="en-US"/>
        </w:rPr>
        <w:t>Desember 2021</w:t>
      </w:r>
      <w:r>
        <w:rPr>
          <w:b/>
          <w:bCs/>
          <w:color w:val="000000" w:themeColor="text1"/>
          <w:sz w:val="20"/>
          <w:szCs w:val="20"/>
        </w:rPr>
        <w:tab/>
      </w:r>
      <w:bookmarkEnd w:id="101"/>
    </w:p>
    <w:tbl>
      <w:tblPr>
        <w:tblW w:w="6124" w:type="dxa"/>
        <w:tblInd w:w="3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5"/>
        <w:gridCol w:w="780"/>
        <w:gridCol w:w="780"/>
        <w:gridCol w:w="780"/>
        <w:gridCol w:w="779"/>
        <w:gridCol w:w="780"/>
        <w:gridCol w:w="780"/>
      </w:tblGrid>
      <w:tr>
        <w:trPr>
          <w:trHeight w:val="20"/>
        </w:trPr>
        <w:tc>
          <w:tcPr>
            <w:tcW w:w="1445" w:type="dxa"/>
            <w:vMerge w:val="restart"/>
            <w:shd w:val="clear" w:color="auto" w:fill="38003D"/>
            <w:vAlign w:val="center"/>
            <w:hideMark/>
          </w:tcPr>
          <w:p>
            <w:pPr>
              <w:spacing w:after="0"/>
              <w:jc w:val="center"/>
              <w:rPr>
                <w:b/>
                <w:bCs/>
                <w:sz w:val="18"/>
                <w:szCs w:val="18"/>
              </w:rPr>
            </w:pPr>
            <w:r>
              <w:rPr>
                <w:b/>
                <w:bCs/>
                <w:sz w:val="18"/>
                <w:szCs w:val="18"/>
              </w:rPr>
              <w:t>Kabupaten/ Kota</w:t>
            </w:r>
          </w:p>
        </w:tc>
        <w:tc>
          <w:tcPr>
            <w:tcW w:w="1560" w:type="dxa"/>
            <w:gridSpan w:val="2"/>
            <w:shd w:val="clear" w:color="auto" w:fill="38003D"/>
            <w:vAlign w:val="center"/>
            <w:hideMark/>
          </w:tcPr>
          <w:p>
            <w:pPr>
              <w:spacing w:after="0"/>
              <w:jc w:val="center"/>
              <w:rPr>
                <w:b/>
                <w:bCs/>
                <w:sz w:val="18"/>
                <w:szCs w:val="18"/>
              </w:rPr>
            </w:pPr>
            <w:r>
              <w:rPr>
                <w:b/>
                <w:bCs/>
                <w:sz w:val="18"/>
                <w:szCs w:val="18"/>
              </w:rPr>
              <w:t>Eselon II</w:t>
            </w:r>
          </w:p>
        </w:tc>
        <w:tc>
          <w:tcPr>
            <w:tcW w:w="1559" w:type="dxa"/>
            <w:gridSpan w:val="2"/>
            <w:shd w:val="clear" w:color="auto" w:fill="38003D"/>
            <w:vAlign w:val="center"/>
          </w:tcPr>
          <w:p>
            <w:pPr>
              <w:spacing w:after="0"/>
              <w:jc w:val="center"/>
              <w:rPr>
                <w:b/>
                <w:bCs/>
                <w:sz w:val="18"/>
                <w:szCs w:val="18"/>
              </w:rPr>
            </w:pPr>
            <w:r>
              <w:rPr>
                <w:b/>
                <w:bCs/>
                <w:sz w:val="18"/>
                <w:szCs w:val="18"/>
              </w:rPr>
              <w:t>Eselon III</w:t>
            </w:r>
          </w:p>
        </w:tc>
        <w:tc>
          <w:tcPr>
            <w:tcW w:w="1560" w:type="dxa"/>
            <w:gridSpan w:val="2"/>
            <w:shd w:val="clear" w:color="auto" w:fill="38003D"/>
            <w:vAlign w:val="center"/>
            <w:hideMark/>
          </w:tcPr>
          <w:p>
            <w:pPr>
              <w:spacing w:after="0"/>
              <w:jc w:val="center"/>
              <w:rPr>
                <w:b/>
                <w:bCs/>
                <w:sz w:val="18"/>
                <w:szCs w:val="18"/>
              </w:rPr>
            </w:pPr>
            <w:r>
              <w:rPr>
                <w:b/>
                <w:bCs/>
                <w:sz w:val="18"/>
                <w:szCs w:val="18"/>
              </w:rPr>
              <w:t>Eselon IV</w:t>
            </w:r>
          </w:p>
        </w:tc>
      </w:tr>
      <w:tr>
        <w:trPr>
          <w:trHeight w:val="20"/>
        </w:trPr>
        <w:tc>
          <w:tcPr>
            <w:tcW w:w="1445" w:type="dxa"/>
            <w:vMerge/>
            <w:shd w:val="clear" w:color="auto" w:fill="38003D"/>
            <w:vAlign w:val="center"/>
            <w:hideMark/>
          </w:tcPr>
          <w:p>
            <w:pPr>
              <w:spacing w:after="0"/>
              <w:rPr>
                <w:b/>
                <w:bCs/>
                <w:sz w:val="18"/>
                <w:szCs w:val="18"/>
              </w:rPr>
            </w:pPr>
          </w:p>
        </w:tc>
        <w:tc>
          <w:tcPr>
            <w:tcW w:w="780" w:type="dxa"/>
            <w:shd w:val="clear" w:color="auto" w:fill="38003D"/>
            <w:vAlign w:val="center"/>
            <w:hideMark/>
          </w:tcPr>
          <w:p>
            <w:pPr>
              <w:spacing w:after="0"/>
              <w:jc w:val="center"/>
              <w:rPr>
                <w:b/>
                <w:bCs/>
                <w:sz w:val="18"/>
                <w:szCs w:val="18"/>
              </w:rPr>
            </w:pPr>
            <w:r>
              <w:rPr>
                <w:b/>
                <w:bCs/>
                <w:sz w:val="18"/>
                <w:szCs w:val="18"/>
              </w:rPr>
              <w:t>L</w:t>
            </w:r>
          </w:p>
        </w:tc>
        <w:tc>
          <w:tcPr>
            <w:tcW w:w="780" w:type="dxa"/>
            <w:shd w:val="clear" w:color="auto" w:fill="38003D"/>
            <w:vAlign w:val="center"/>
            <w:hideMark/>
          </w:tcPr>
          <w:p>
            <w:pPr>
              <w:spacing w:after="0"/>
              <w:jc w:val="center"/>
              <w:rPr>
                <w:b/>
                <w:bCs/>
                <w:sz w:val="18"/>
                <w:szCs w:val="18"/>
              </w:rPr>
            </w:pPr>
            <w:r>
              <w:rPr>
                <w:b/>
                <w:bCs/>
                <w:sz w:val="18"/>
                <w:szCs w:val="18"/>
              </w:rPr>
              <w:t>P</w:t>
            </w:r>
          </w:p>
        </w:tc>
        <w:tc>
          <w:tcPr>
            <w:tcW w:w="780" w:type="dxa"/>
            <w:shd w:val="clear" w:color="auto" w:fill="38003D"/>
            <w:vAlign w:val="center"/>
            <w:hideMark/>
          </w:tcPr>
          <w:p>
            <w:pPr>
              <w:spacing w:after="0"/>
              <w:jc w:val="center"/>
              <w:rPr>
                <w:b/>
                <w:bCs/>
                <w:sz w:val="18"/>
                <w:szCs w:val="18"/>
              </w:rPr>
            </w:pPr>
            <w:r>
              <w:rPr>
                <w:b/>
                <w:bCs/>
                <w:sz w:val="18"/>
                <w:szCs w:val="18"/>
              </w:rPr>
              <w:t>L</w:t>
            </w:r>
          </w:p>
        </w:tc>
        <w:tc>
          <w:tcPr>
            <w:tcW w:w="779" w:type="dxa"/>
            <w:shd w:val="clear" w:color="auto" w:fill="38003D"/>
            <w:vAlign w:val="center"/>
          </w:tcPr>
          <w:p>
            <w:pPr>
              <w:spacing w:after="0"/>
              <w:jc w:val="center"/>
              <w:rPr>
                <w:b/>
                <w:bCs/>
                <w:sz w:val="18"/>
                <w:szCs w:val="18"/>
              </w:rPr>
            </w:pPr>
            <w:r>
              <w:rPr>
                <w:b/>
                <w:bCs/>
                <w:sz w:val="18"/>
                <w:szCs w:val="18"/>
              </w:rPr>
              <w:t>P</w:t>
            </w:r>
          </w:p>
        </w:tc>
        <w:tc>
          <w:tcPr>
            <w:tcW w:w="780" w:type="dxa"/>
            <w:shd w:val="clear" w:color="auto" w:fill="38003D"/>
            <w:vAlign w:val="center"/>
            <w:hideMark/>
          </w:tcPr>
          <w:p>
            <w:pPr>
              <w:spacing w:after="0"/>
              <w:jc w:val="center"/>
              <w:rPr>
                <w:b/>
                <w:bCs/>
                <w:sz w:val="18"/>
                <w:szCs w:val="18"/>
              </w:rPr>
            </w:pPr>
            <w:r>
              <w:rPr>
                <w:b/>
                <w:bCs/>
                <w:sz w:val="18"/>
                <w:szCs w:val="18"/>
              </w:rPr>
              <w:t>L</w:t>
            </w:r>
          </w:p>
        </w:tc>
        <w:tc>
          <w:tcPr>
            <w:tcW w:w="780" w:type="dxa"/>
            <w:shd w:val="clear" w:color="auto" w:fill="38003D"/>
            <w:vAlign w:val="center"/>
            <w:hideMark/>
          </w:tcPr>
          <w:p>
            <w:pPr>
              <w:spacing w:after="0"/>
              <w:jc w:val="center"/>
              <w:rPr>
                <w:b/>
                <w:bCs/>
                <w:sz w:val="18"/>
                <w:szCs w:val="18"/>
              </w:rPr>
            </w:pPr>
            <w:r>
              <w:rPr>
                <w:b/>
                <w:bCs/>
                <w:sz w:val="18"/>
                <w:szCs w:val="18"/>
              </w:rPr>
              <w:t>P</w:t>
            </w:r>
          </w:p>
        </w:tc>
      </w:tr>
      <w:tr>
        <w:trPr>
          <w:trHeight w:val="20"/>
        </w:trPr>
        <w:tc>
          <w:tcPr>
            <w:tcW w:w="1445" w:type="dxa"/>
            <w:shd w:val="clear" w:color="auto" w:fill="38003D"/>
            <w:vAlign w:val="center"/>
            <w:hideMark/>
          </w:tcPr>
          <w:p>
            <w:pPr>
              <w:spacing w:after="0"/>
              <w:jc w:val="center"/>
              <w:rPr>
                <w:bCs/>
                <w:sz w:val="18"/>
                <w:szCs w:val="18"/>
              </w:rPr>
            </w:pPr>
            <w:r>
              <w:rPr>
                <w:bCs/>
                <w:sz w:val="18"/>
                <w:szCs w:val="18"/>
              </w:rPr>
              <w:t>(1)</w:t>
            </w:r>
          </w:p>
        </w:tc>
        <w:tc>
          <w:tcPr>
            <w:tcW w:w="780" w:type="dxa"/>
            <w:shd w:val="clear" w:color="auto" w:fill="38003D"/>
            <w:vAlign w:val="center"/>
            <w:hideMark/>
          </w:tcPr>
          <w:p>
            <w:pPr>
              <w:spacing w:after="0"/>
              <w:jc w:val="center"/>
              <w:rPr>
                <w:bCs/>
                <w:sz w:val="18"/>
                <w:szCs w:val="18"/>
              </w:rPr>
            </w:pPr>
            <w:r>
              <w:rPr>
                <w:bCs/>
                <w:sz w:val="18"/>
                <w:szCs w:val="18"/>
              </w:rPr>
              <w:t>(2)</w:t>
            </w:r>
          </w:p>
        </w:tc>
        <w:tc>
          <w:tcPr>
            <w:tcW w:w="780" w:type="dxa"/>
            <w:shd w:val="clear" w:color="auto" w:fill="38003D"/>
            <w:vAlign w:val="center"/>
            <w:hideMark/>
          </w:tcPr>
          <w:p>
            <w:pPr>
              <w:spacing w:after="0"/>
              <w:jc w:val="center"/>
              <w:rPr>
                <w:bCs/>
                <w:sz w:val="18"/>
                <w:szCs w:val="18"/>
              </w:rPr>
            </w:pPr>
            <w:r>
              <w:rPr>
                <w:bCs/>
                <w:sz w:val="18"/>
                <w:szCs w:val="18"/>
              </w:rPr>
              <w:t>(3)</w:t>
            </w:r>
          </w:p>
        </w:tc>
        <w:tc>
          <w:tcPr>
            <w:tcW w:w="780" w:type="dxa"/>
            <w:shd w:val="clear" w:color="auto" w:fill="38003D"/>
            <w:vAlign w:val="center"/>
            <w:hideMark/>
          </w:tcPr>
          <w:p>
            <w:pPr>
              <w:spacing w:after="0"/>
              <w:jc w:val="center"/>
              <w:rPr>
                <w:bCs/>
                <w:sz w:val="18"/>
                <w:szCs w:val="18"/>
              </w:rPr>
            </w:pPr>
            <w:r>
              <w:rPr>
                <w:bCs/>
                <w:sz w:val="18"/>
                <w:szCs w:val="18"/>
              </w:rPr>
              <w:t>(4)</w:t>
            </w:r>
          </w:p>
        </w:tc>
        <w:tc>
          <w:tcPr>
            <w:tcW w:w="779" w:type="dxa"/>
            <w:shd w:val="clear" w:color="auto" w:fill="38003D"/>
            <w:vAlign w:val="center"/>
          </w:tcPr>
          <w:p>
            <w:pPr>
              <w:spacing w:after="0"/>
              <w:jc w:val="center"/>
              <w:rPr>
                <w:bCs/>
                <w:sz w:val="18"/>
                <w:szCs w:val="18"/>
              </w:rPr>
            </w:pPr>
            <w:r>
              <w:rPr>
                <w:bCs/>
                <w:sz w:val="18"/>
                <w:szCs w:val="18"/>
              </w:rPr>
              <w:t>(5)</w:t>
            </w:r>
          </w:p>
        </w:tc>
        <w:tc>
          <w:tcPr>
            <w:tcW w:w="780" w:type="dxa"/>
            <w:shd w:val="clear" w:color="auto" w:fill="38003D"/>
            <w:vAlign w:val="center"/>
            <w:hideMark/>
          </w:tcPr>
          <w:p>
            <w:pPr>
              <w:spacing w:after="0"/>
              <w:jc w:val="center"/>
              <w:rPr>
                <w:bCs/>
                <w:sz w:val="18"/>
                <w:szCs w:val="18"/>
              </w:rPr>
            </w:pPr>
            <w:r>
              <w:rPr>
                <w:bCs/>
                <w:sz w:val="18"/>
                <w:szCs w:val="18"/>
              </w:rPr>
              <w:t>(6)</w:t>
            </w:r>
          </w:p>
        </w:tc>
        <w:tc>
          <w:tcPr>
            <w:tcW w:w="780" w:type="dxa"/>
            <w:shd w:val="clear" w:color="auto" w:fill="38003D"/>
            <w:vAlign w:val="center"/>
            <w:hideMark/>
          </w:tcPr>
          <w:p>
            <w:pPr>
              <w:spacing w:after="0"/>
              <w:jc w:val="center"/>
              <w:rPr>
                <w:bCs/>
                <w:sz w:val="18"/>
                <w:szCs w:val="18"/>
              </w:rPr>
            </w:pPr>
            <w:r>
              <w:rPr>
                <w:bCs/>
                <w:sz w:val="18"/>
                <w:szCs w:val="18"/>
              </w:rPr>
              <w:t>(7)</w:t>
            </w:r>
          </w:p>
        </w:tc>
      </w:tr>
      <w:tr>
        <w:trPr>
          <w:trHeight w:val="340"/>
        </w:trPr>
        <w:tc>
          <w:tcPr>
            <w:tcW w:w="1445" w:type="dxa"/>
            <w:shd w:val="clear" w:color="auto" w:fill="EAF1DD" w:themeFill="accent3" w:themeFillTint="33"/>
            <w:vAlign w:val="center"/>
            <w:hideMark/>
          </w:tcPr>
          <w:p>
            <w:pPr>
              <w:spacing w:after="0"/>
              <w:rPr>
                <w:bCs/>
                <w:sz w:val="18"/>
                <w:szCs w:val="18"/>
              </w:rPr>
            </w:pPr>
            <w:r>
              <w:rPr>
                <w:bCs/>
                <w:sz w:val="18"/>
                <w:szCs w:val="18"/>
              </w:rPr>
              <w:t>Provinsi</w:t>
            </w:r>
          </w:p>
        </w:tc>
        <w:tc>
          <w:tcPr>
            <w:tcW w:w="780" w:type="dxa"/>
            <w:shd w:val="clear" w:color="auto" w:fill="EAF1DD" w:themeFill="accent3" w:themeFillTint="33"/>
            <w:vAlign w:val="center"/>
          </w:tcPr>
          <w:p>
            <w:pPr>
              <w:spacing w:after="0"/>
              <w:jc w:val="right"/>
              <w:rPr>
                <w:rFonts w:ascii="Calibri" w:hAnsi="Calibri" w:cs="Calibri"/>
                <w:bCs/>
                <w:sz w:val="18"/>
                <w:szCs w:val="18"/>
              </w:rPr>
            </w:pPr>
            <w:r>
              <w:rPr>
                <w:rFonts w:ascii="Calibri" w:hAnsi="Calibri" w:cs="Calibri"/>
                <w:color w:val="000000"/>
                <w:sz w:val="18"/>
                <w:szCs w:val="18"/>
              </w:rPr>
              <w:t>19</w:t>
            </w:r>
          </w:p>
        </w:tc>
        <w:tc>
          <w:tcPr>
            <w:tcW w:w="780" w:type="dxa"/>
            <w:shd w:val="clear" w:color="auto" w:fill="EAF1DD" w:themeFill="accent3" w:themeFillTint="33"/>
            <w:vAlign w:val="center"/>
          </w:tcPr>
          <w:p>
            <w:pPr>
              <w:spacing w:after="0"/>
              <w:jc w:val="right"/>
              <w:rPr>
                <w:rFonts w:ascii="Calibri" w:hAnsi="Calibri" w:cs="Calibri"/>
                <w:bCs/>
                <w:sz w:val="18"/>
                <w:szCs w:val="18"/>
              </w:rPr>
            </w:pPr>
            <w:r>
              <w:rPr>
                <w:rFonts w:ascii="Calibri" w:hAnsi="Calibri" w:cs="Calibri"/>
                <w:color w:val="000000"/>
                <w:sz w:val="18"/>
                <w:szCs w:val="18"/>
              </w:rPr>
              <w:t>7</w:t>
            </w:r>
          </w:p>
        </w:tc>
        <w:tc>
          <w:tcPr>
            <w:tcW w:w="780" w:type="dxa"/>
            <w:shd w:val="clear" w:color="auto" w:fill="EAF1DD" w:themeFill="accent3" w:themeFillTint="33"/>
            <w:noWrap/>
            <w:vAlign w:val="center"/>
          </w:tcPr>
          <w:p>
            <w:pPr>
              <w:spacing w:after="0"/>
              <w:jc w:val="right"/>
              <w:rPr>
                <w:rFonts w:ascii="Calibri" w:hAnsi="Calibri" w:cs="Calibri"/>
                <w:bCs/>
                <w:sz w:val="18"/>
                <w:szCs w:val="18"/>
              </w:rPr>
            </w:pPr>
            <w:r>
              <w:rPr>
                <w:rFonts w:ascii="Calibri" w:hAnsi="Calibri" w:cs="Calibri"/>
                <w:color w:val="000000"/>
                <w:sz w:val="18"/>
                <w:szCs w:val="18"/>
              </w:rPr>
              <w:t>135</w:t>
            </w:r>
          </w:p>
        </w:tc>
        <w:tc>
          <w:tcPr>
            <w:tcW w:w="779" w:type="dxa"/>
            <w:shd w:val="clear" w:color="auto" w:fill="EAF1DD" w:themeFill="accent3" w:themeFillTint="33"/>
            <w:vAlign w:val="center"/>
          </w:tcPr>
          <w:p>
            <w:pPr>
              <w:spacing w:after="0"/>
              <w:jc w:val="right"/>
              <w:rPr>
                <w:rFonts w:ascii="Calibri" w:hAnsi="Calibri" w:cs="Calibri"/>
                <w:bCs/>
                <w:sz w:val="18"/>
                <w:szCs w:val="18"/>
              </w:rPr>
            </w:pPr>
            <w:r>
              <w:rPr>
                <w:rFonts w:ascii="Calibri" w:hAnsi="Calibri" w:cs="Calibri"/>
                <w:color w:val="000000"/>
                <w:sz w:val="18"/>
                <w:szCs w:val="18"/>
              </w:rPr>
              <w:t>60</w:t>
            </w:r>
          </w:p>
        </w:tc>
        <w:tc>
          <w:tcPr>
            <w:tcW w:w="780" w:type="dxa"/>
            <w:shd w:val="clear" w:color="auto" w:fill="EAF1DD" w:themeFill="accent3" w:themeFillTint="33"/>
            <w:vAlign w:val="center"/>
          </w:tcPr>
          <w:p>
            <w:pPr>
              <w:spacing w:after="0"/>
              <w:jc w:val="right"/>
              <w:rPr>
                <w:rFonts w:ascii="Calibri" w:hAnsi="Calibri" w:cs="Calibri"/>
                <w:bCs/>
                <w:sz w:val="18"/>
                <w:szCs w:val="18"/>
              </w:rPr>
            </w:pPr>
            <w:r>
              <w:rPr>
                <w:rFonts w:ascii="Calibri" w:hAnsi="Calibri" w:cs="Calibri"/>
                <w:color w:val="000000"/>
                <w:sz w:val="18"/>
                <w:szCs w:val="18"/>
              </w:rPr>
              <w:t>355</w:t>
            </w:r>
          </w:p>
        </w:tc>
        <w:tc>
          <w:tcPr>
            <w:tcW w:w="780" w:type="dxa"/>
            <w:shd w:val="clear" w:color="auto" w:fill="EAF1DD" w:themeFill="accent3" w:themeFillTint="33"/>
            <w:vAlign w:val="center"/>
          </w:tcPr>
          <w:p>
            <w:pPr>
              <w:spacing w:after="0"/>
              <w:jc w:val="right"/>
              <w:rPr>
                <w:rFonts w:ascii="Calibri" w:hAnsi="Calibri" w:cs="Calibri"/>
                <w:bCs/>
                <w:sz w:val="18"/>
                <w:szCs w:val="18"/>
              </w:rPr>
            </w:pPr>
            <w:r>
              <w:rPr>
                <w:rFonts w:ascii="Calibri" w:hAnsi="Calibri" w:cs="Calibri"/>
                <w:color w:val="000000"/>
                <w:sz w:val="18"/>
                <w:szCs w:val="18"/>
              </w:rPr>
              <w:t>249</w:t>
            </w:r>
          </w:p>
        </w:tc>
      </w:tr>
      <w:tr>
        <w:trPr>
          <w:trHeight w:val="340"/>
        </w:trPr>
        <w:tc>
          <w:tcPr>
            <w:tcW w:w="1445" w:type="dxa"/>
            <w:shd w:val="clear" w:color="auto" w:fill="E5DFEC" w:themeFill="accent4" w:themeFillTint="33"/>
            <w:vAlign w:val="center"/>
            <w:hideMark/>
          </w:tcPr>
          <w:p>
            <w:pPr>
              <w:spacing w:after="0"/>
              <w:rPr>
                <w:sz w:val="18"/>
                <w:szCs w:val="18"/>
              </w:rPr>
            </w:pPr>
            <w:r>
              <w:rPr>
                <w:sz w:val="18"/>
                <w:szCs w:val="18"/>
              </w:rPr>
              <w:t>Kotawaringin Barat</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33</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4</w:t>
            </w:r>
          </w:p>
        </w:tc>
        <w:tc>
          <w:tcPr>
            <w:tcW w:w="780" w:type="dxa"/>
            <w:shd w:val="clear" w:color="auto" w:fill="E5DFEC" w:themeFill="accent4" w:themeFillTint="33"/>
            <w:noWrap/>
            <w:vAlign w:val="center"/>
          </w:tcPr>
          <w:p>
            <w:pPr>
              <w:spacing w:after="0"/>
              <w:jc w:val="right"/>
              <w:rPr>
                <w:rFonts w:cstheme="minorHAnsi"/>
                <w:sz w:val="18"/>
                <w:szCs w:val="18"/>
              </w:rPr>
            </w:pPr>
            <w:r>
              <w:rPr>
                <w:rFonts w:cstheme="minorHAnsi"/>
                <w:color w:val="000000"/>
                <w:sz w:val="18"/>
                <w:szCs w:val="18"/>
              </w:rPr>
              <w:t>129</w:t>
            </w:r>
          </w:p>
        </w:tc>
        <w:tc>
          <w:tcPr>
            <w:tcW w:w="779"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48</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141</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112</w:t>
            </w:r>
          </w:p>
        </w:tc>
      </w:tr>
      <w:tr>
        <w:trPr>
          <w:trHeight w:val="340"/>
        </w:trPr>
        <w:tc>
          <w:tcPr>
            <w:tcW w:w="1445" w:type="dxa"/>
            <w:shd w:val="clear" w:color="auto" w:fill="EAF1DD" w:themeFill="accent3" w:themeFillTint="33"/>
            <w:vAlign w:val="center"/>
            <w:hideMark/>
          </w:tcPr>
          <w:p>
            <w:pPr>
              <w:spacing w:after="0"/>
              <w:rPr>
                <w:sz w:val="18"/>
                <w:szCs w:val="18"/>
              </w:rPr>
            </w:pPr>
            <w:r>
              <w:rPr>
                <w:sz w:val="18"/>
                <w:szCs w:val="18"/>
              </w:rPr>
              <w:t>Kotawaringin Timur</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23</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5</w:t>
            </w:r>
          </w:p>
        </w:tc>
        <w:tc>
          <w:tcPr>
            <w:tcW w:w="780" w:type="dxa"/>
            <w:shd w:val="clear" w:color="auto" w:fill="EAF1DD" w:themeFill="accent3" w:themeFillTint="33"/>
            <w:noWrap/>
            <w:vAlign w:val="center"/>
          </w:tcPr>
          <w:p>
            <w:pPr>
              <w:spacing w:after="0"/>
              <w:jc w:val="right"/>
              <w:rPr>
                <w:rFonts w:cstheme="minorHAnsi"/>
                <w:sz w:val="18"/>
                <w:szCs w:val="18"/>
              </w:rPr>
            </w:pPr>
            <w:r>
              <w:rPr>
                <w:rFonts w:cstheme="minorHAnsi"/>
                <w:color w:val="000000"/>
                <w:sz w:val="18"/>
                <w:szCs w:val="18"/>
              </w:rPr>
              <w:t>150</w:t>
            </w:r>
          </w:p>
        </w:tc>
        <w:tc>
          <w:tcPr>
            <w:tcW w:w="779"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38</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373</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235</w:t>
            </w:r>
          </w:p>
        </w:tc>
      </w:tr>
      <w:tr>
        <w:trPr>
          <w:trHeight w:val="340"/>
        </w:trPr>
        <w:tc>
          <w:tcPr>
            <w:tcW w:w="1445" w:type="dxa"/>
            <w:shd w:val="clear" w:color="auto" w:fill="E5DFEC" w:themeFill="accent4" w:themeFillTint="33"/>
            <w:vAlign w:val="center"/>
            <w:hideMark/>
          </w:tcPr>
          <w:p>
            <w:pPr>
              <w:spacing w:after="0"/>
              <w:rPr>
                <w:sz w:val="18"/>
                <w:szCs w:val="18"/>
              </w:rPr>
            </w:pPr>
            <w:r>
              <w:rPr>
                <w:sz w:val="18"/>
                <w:szCs w:val="18"/>
              </w:rPr>
              <w:t>Kapuas</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23</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3</w:t>
            </w:r>
          </w:p>
        </w:tc>
        <w:tc>
          <w:tcPr>
            <w:tcW w:w="780" w:type="dxa"/>
            <w:shd w:val="clear" w:color="auto" w:fill="E5DFEC" w:themeFill="accent4" w:themeFillTint="33"/>
            <w:noWrap/>
            <w:vAlign w:val="center"/>
          </w:tcPr>
          <w:p>
            <w:pPr>
              <w:spacing w:after="0"/>
              <w:jc w:val="right"/>
              <w:rPr>
                <w:rFonts w:cstheme="minorHAnsi"/>
                <w:sz w:val="18"/>
                <w:szCs w:val="18"/>
              </w:rPr>
            </w:pPr>
            <w:r>
              <w:rPr>
                <w:rFonts w:cstheme="minorHAnsi"/>
                <w:color w:val="000000"/>
                <w:sz w:val="18"/>
                <w:szCs w:val="18"/>
              </w:rPr>
              <w:t>115</w:t>
            </w:r>
          </w:p>
        </w:tc>
        <w:tc>
          <w:tcPr>
            <w:tcW w:w="779"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38</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311</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194</w:t>
            </w:r>
          </w:p>
        </w:tc>
      </w:tr>
      <w:tr>
        <w:trPr>
          <w:trHeight w:val="340"/>
        </w:trPr>
        <w:tc>
          <w:tcPr>
            <w:tcW w:w="1445" w:type="dxa"/>
            <w:shd w:val="clear" w:color="auto" w:fill="EAF1DD" w:themeFill="accent3" w:themeFillTint="33"/>
            <w:vAlign w:val="center"/>
            <w:hideMark/>
          </w:tcPr>
          <w:p>
            <w:pPr>
              <w:spacing w:after="0"/>
              <w:rPr>
                <w:sz w:val="18"/>
                <w:szCs w:val="18"/>
              </w:rPr>
            </w:pPr>
            <w:r>
              <w:rPr>
                <w:sz w:val="18"/>
                <w:szCs w:val="18"/>
              </w:rPr>
              <w:t>Barito Selatan</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20</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4</w:t>
            </w:r>
          </w:p>
        </w:tc>
        <w:tc>
          <w:tcPr>
            <w:tcW w:w="780" w:type="dxa"/>
            <w:shd w:val="clear" w:color="auto" w:fill="EAF1DD" w:themeFill="accent3" w:themeFillTint="33"/>
            <w:noWrap/>
            <w:vAlign w:val="center"/>
          </w:tcPr>
          <w:p>
            <w:pPr>
              <w:spacing w:after="0"/>
              <w:jc w:val="right"/>
              <w:rPr>
                <w:rFonts w:cstheme="minorHAnsi"/>
                <w:sz w:val="18"/>
                <w:szCs w:val="18"/>
              </w:rPr>
            </w:pPr>
            <w:r>
              <w:rPr>
                <w:rFonts w:cstheme="minorHAnsi"/>
                <w:color w:val="000000"/>
                <w:sz w:val="18"/>
                <w:szCs w:val="18"/>
              </w:rPr>
              <w:t>93</w:t>
            </w:r>
          </w:p>
        </w:tc>
        <w:tc>
          <w:tcPr>
            <w:tcW w:w="779"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37</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290</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144</w:t>
            </w:r>
          </w:p>
        </w:tc>
      </w:tr>
      <w:tr>
        <w:trPr>
          <w:trHeight w:val="340"/>
        </w:trPr>
        <w:tc>
          <w:tcPr>
            <w:tcW w:w="1445" w:type="dxa"/>
            <w:shd w:val="clear" w:color="auto" w:fill="E5DFEC" w:themeFill="accent4" w:themeFillTint="33"/>
            <w:vAlign w:val="center"/>
            <w:hideMark/>
          </w:tcPr>
          <w:p>
            <w:pPr>
              <w:spacing w:after="0"/>
              <w:rPr>
                <w:sz w:val="18"/>
                <w:szCs w:val="18"/>
              </w:rPr>
            </w:pPr>
            <w:r>
              <w:rPr>
                <w:sz w:val="18"/>
                <w:szCs w:val="18"/>
              </w:rPr>
              <w:t>Barito Utara</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28</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5</w:t>
            </w:r>
          </w:p>
        </w:tc>
        <w:tc>
          <w:tcPr>
            <w:tcW w:w="780" w:type="dxa"/>
            <w:shd w:val="clear" w:color="auto" w:fill="E5DFEC" w:themeFill="accent4" w:themeFillTint="33"/>
            <w:noWrap/>
            <w:vAlign w:val="center"/>
          </w:tcPr>
          <w:p>
            <w:pPr>
              <w:spacing w:after="0"/>
              <w:jc w:val="right"/>
              <w:rPr>
                <w:rFonts w:cstheme="minorHAnsi"/>
                <w:sz w:val="18"/>
                <w:szCs w:val="18"/>
              </w:rPr>
            </w:pPr>
            <w:r>
              <w:rPr>
                <w:rFonts w:cstheme="minorHAnsi"/>
                <w:color w:val="000000"/>
                <w:sz w:val="18"/>
                <w:szCs w:val="18"/>
              </w:rPr>
              <w:t>109</w:t>
            </w:r>
          </w:p>
        </w:tc>
        <w:tc>
          <w:tcPr>
            <w:tcW w:w="779"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38</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324</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190</w:t>
            </w:r>
          </w:p>
        </w:tc>
      </w:tr>
      <w:tr>
        <w:trPr>
          <w:trHeight w:val="340"/>
        </w:trPr>
        <w:tc>
          <w:tcPr>
            <w:tcW w:w="1445" w:type="dxa"/>
            <w:shd w:val="clear" w:color="auto" w:fill="EAF1DD" w:themeFill="accent3" w:themeFillTint="33"/>
            <w:vAlign w:val="center"/>
            <w:hideMark/>
          </w:tcPr>
          <w:p>
            <w:pPr>
              <w:spacing w:after="0"/>
              <w:rPr>
                <w:sz w:val="18"/>
                <w:szCs w:val="18"/>
              </w:rPr>
            </w:pPr>
            <w:r>
              <w:rPr>
                <w:sz w:val="18"/>
                <w:szCs w:val="18"/>
              </w:rPr>
              <w:t>Sukamara</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24</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4</w:t>
            </w:r>
          </w:p>
        </w:tc>
        <w:tc>
          <w:tcPr>
            <w:tcW w:w="780" w:type="dxa"/>
            <w:shd w:val="clear" w:color="auto" w:fill="EAF1DD" w:themeFill="accent3" w:themeFillTint="33"/>
            <w:noWrap/>
            <w:vAlign w:val="center"/>
          </w:tcPr>
          <w:p>
            <w:pPr>
              <w:spacing w:after="0"/>
              <w:jc w:val="right"/>
              <w:rPr>
                <w:rFonts w:cstheme="minorHAnsi"/>
                <w:sz w:val="18"/>
                <w:szCs w:val="18"/>
              </w:rPr>
            </w:pPr>
            <w:r>
              <w:rPr>
                <w:rFonts w:cstheme="minorHAnsi"/>
                <w:color w:val="000000"/>
                <w:sz w:val="18"/>
                <w:szCs w:val="18"/>
              </w:rPr>
              <w:t>74</w:t>
            </w:r>
          </w:p>
        </w:tc>
        <w:tc>
          <w:tcPr>
            <w:tcW w:w="779"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29</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185</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105</w:t>
            </w:r>
          </w:p>
        </w:tc>
      </w:tr>
      <w:tr>
        <w:trPr>
          <w:trHeight w:val="340"/>
        </w:trPr>
        <w:tc>
          <w:tcPr>
            <w:tcW w:w="1445" w:type="dxa"/>
            <w:shd w:val="clear" w:color="auto" w:fill="E5DFEC" w:themeFill="accent4" w:themeFillTint="33"/>
            <w:vAlign w:val="center"/>
            <w:hideMark/>
          </w:tcPr>
          <w:p>
            <w:pPr>
              <w:spacing w:after="0"/>
              <w:rPr>
                <w:sz w:val="18"/>
                <w:szCs w:val="18"/>
              </w:rPr>
            </w:pPr>
            <w:r>
              <w:rPr>
                <w:sz w:val="18"/>
                <w:szCs w:val="18"/>
              </w:rPr>
              <w:t>Lamandau</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22</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4</w:t>
            </w:r>
          </w:p>
        </w:tc>
        <w:tc>
          <w:tcPr>
            <w:tcW w:w="780" w:type="dxa"/>
            <w:shd w:val="clear" w:color="auto" w:fill="E5DFEC" w:themeFill="accent4" w:themeFillTint="33"/>
            <w:noWrap/>
            <w:vAlign w:val="center"/>
          </w:tcPr>
          <w:p>
            <w:pPr>
              <w:spacing w:after="0"/>
              <w:jc w:val="right"/>
              <w:rPr>
                <w:rFonts w:cstheme="minorHAnsi"/>
                <w:sz w:val="18"/>
                <w:szCs w:val="18"/>
              </w:rPr>
            </w:pPr>
            <w:r>
              <w:rPr>
                <w:rFonts w:cstheme="minorHAnsi"/>
                <w:color w:val="000000"/>
                <w:sz w:val="18"/>
                <w:szCs w:val="18"/>
              </w:rPr>
              <w:t>103</w:t>
            </w:r>
          </w:p>
        </w:tc>
        <w:tc>
          <w:tcPr>
            <w:tcW w:w="779"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43</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80</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65</w:t>
            </w:r>
          </w:p>
        </w:tc>
      </w:tr>
      <w:tr>
        <w:trPr>
          <w:trHeight w:val="340"/>
        </w:trPr>
        <w:tc>
          <w:tcPr>
            <w:tcW w:w="1445" w:type="dxa"/>
            <w:shd w:val="clear" w:color="auto" w:fill="EAF1DD" w:themeFill="accent3" w:themeFillTint="33"/>
            <w:vAlign w:val="center"/>
            <w:hideMark/>
          </w:tcPr>
          <w:p>
            <w:pPr>
              <w:spacing w:after="0"/>
              <w:rPr>
                <w:sz w:val="18"/>
                <w:szCs w:val="18"/>
              </w:rPr>
            </w:pPr>
            <w:r>
              <w:rPr>
                <w:sz w:val="18"/>
                <w:szCs w:val="18"/>
              </w:rPr>
              <w:t>Seruyan</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31</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w:t>
            </w:r>
          </w:p>
        </w:tc>
        <w:tc>
          <w:tcPr>
            <w:tcW w:w="780" w:type="dxa"/>
            <w:shd w:val="clear" w:color="auto" w:fill="EAF1DD" w:themeFill="accent3" w:themeFillTint="33"/>
            <w:noWrap/>
            <w:vAlign w:val="center"/>
          </w:tcPr>
          <w:p>
            <w:pPr>
              <w:spacing w:after="0"/>
              <w:jc w:val="right"/>
              <w:rPr>
                <w:rFonts w:cstheme="minorHAnsi"/>
                <w:sz w:val="18"/>
                <w:szCs w:val="18"/>
              </w:rPr>
            </w:pPr>
            <w:r>
              <w:rPr>
                <w:rFonts w:cstheme="minorHAnsi"/>
                <w:color w:val="000000"/>
                <w:sz w:val="18"/>
                <w:szCs w:val="18"/>
              </w:rPr>
              <w:t>115</w:t>
            </w:r>
          </w:p>
        </w:tc>
        <w:tc>
          <w:tcPr>
            <w:tcW w:w="779"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48</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260</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170</w:t>
            </w:r>
          </w:p>
        </w:tc>
      </w:tr>
      <w:tr>
        <w:trPr>
          <w:trHeight w:val="340"/>
        </w:trPr>
        <w:tc>
          <w:tcPr>
            <w:tcW w:w="1445" w:type="dxa"/>
            <w:shd w:val="clear" w:color="auto" w:fill="E5DFEC" w:themeFill="accent4" w:themeFillTint="33"/>
            <w:vAlign w:val="center"/>
            <w:hideMark/>
          </w:tcPr>
          <w:p>
            <w:pPr>
              <w:spacing w:after="0"/>
              <w:rPr>
                <w:sz w:val="18"/>
                <w:szCs w:val="18"/>
              </w:rPr>
            </w:pPr>
            <w:r>
              <w:rPr>
                <w:sz w:val="18"/>
                <w:szCs w:val="18"/>
              </w:rPr>
              <w:t>Katingan</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28</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w:t>
            </w:r>
          </w:p>
        </w:tc>
        <w:tc>
          <w:tcPr>
            <w:tcW w:w="780" w:type="dxa"/>
            <w:shd w:val="clear" w:color="auto" w:fill="E5DFEC" w:themeFill="accent4" w:themeFillTint="33"/>
            <w:noWrap/>
            <w:vAlign w:val="center"/>
          </w:tcPr>
          <w:p>
            <w:pPr>
              <w:spacing w:after="0"/>
              <w:jc w:val="right"/>
              <w:rPr>
                <w:rFonts w:cstheme="minorHAnsi"/>
                <w:sz w:val="18"/>
                <w:szCs w:val="18"/>
              </w:rPr>
            </w:pPr>
            <w:r>
              <w:rPr>
                <w:rFonts w:cstheme="minorHAnsi"/>
                <w:color w:val="000000"/>
                <w:sz w:val="18"/>
                <w:szCs w:val="18"/>
              </w:rPr>
              <w:t>109</w:t>
            </w:r>
          </w:p>
        </w:tc>
        <w:tc>
          <w:tcPr>
            <w:tcW w:w="779"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38</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162</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91</w:t>
            </w:r>
          </w:p>
        </w:tc>
      </w:tr>
      <w:tr>
        <w:trPr>
          <w:trHeight w:val="340"/>
        </w:trPr>
        <w:tc>
          <w:tcPr>
            <w:tcW w:w="1445" w:type="dxa"/>
            <w:shd w:val="clear" w:color="auto" w:fill="EAF1DD" w:themeFill="accent3" w:themeFillTint="33"/>
            <w:vAlign w:val="center"/>
            <w:hideMark/>
          </w:tcPr>
          <w:p>
            <w:pPr>
              <w:spacing w:after="0"/>
              <w:rPr>
                <w:sz w:val="18"/>
                <w:szCs w:val="18"/>
              </w:rPr>
            </w:pPr>
            <w:r>
              <w:rPr>
                <w:sz w:val="18"/>
                <w:szCs w:val="18"/>
              </w:rPr>
              <w:t>Pulang Pisau</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24</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w:t>
            </w:r>
          </w:p>
        </w:tc>
        <w:tc>
          <w:tcPr>
            <w:tcW w:w="780" w:type="dxa"/>
            <w:shd w:val="clear" w:color="auto" w:fill="EAF1DD" w:themeFill="accent3" w:themeFillTint="33"/>
            <w:noWrap/>
            <w:vAlign w:val="center"/>
          </w:tcPr>
          <w:p>
            <w:pPr>
              <w:spacing w:after="0"/>
              <w:jc w:val="right"/>
              <w:rPr>
                <w:rFonts w:cstheme="minorHAnsi"/>
                <w:sz w:val="18"/>
                <w:szCs w:val="18"/>
              </w:rPr>
            </w:pPr>
            <w:r>
              <w:rPr>
                <w:rFonts w:cstheme="minorHAnsi"/>
                <w:color w:val="000000"/>
                <w:sz w:val="18"/>
                <w:szCs w:val="18"/>
              </w:rPr>
              <w:t>97</w:t>
            </w:r>
          </w:p>
        </w:tc>
        <w:tc>
          <w:tcPr>
            <w:tcW w:w="779"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41</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87</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51</w:t>
            </w:r>
          </w:p>
        </w:tc>
      </w:tr>
      <w:tr>
        <w:trPr>
          <w:trHeight w:val="340"/>
        </w:trPr>
        <w:tc>
          <w:tcPr>
            <w:tcW w:w="1445" w:type="dxa"/>
            <w:shd w:val="clear" w:color="auto" w:fill="E5DFEC" w:themeFill="accent4" w:themeFillTint="33"/>
            <w:vAlign w:val="center"/>
            <w:hideMark/>
          </w:tcPr>
          <w:p>
            <w:pPr>
              <w:spacing w:after="0"/>
              <w:rPr>
                <w:sz w:val="18"/>
                <w:szCs w:val="18"/>
              </w:rPr>
            </w:pPr>
            <w:r>
              <w:rPr>
                <w:sz w:val="18"/>
                <w:szCs w:val="18"/>
              </w:rPr>
              <w:t>Gunung Mas</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26</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2</w:t>
            </w:r>
          </w:p>
        </w:tc>
        <w:tc>
          <w:tcPr>
            <w:tcW w:w="780" w:type="dxa"/>
            <w:shd w:val="clear" w:color="auto" w:fill="E5DFEC" w:themeFill="accent4" w:themeFillTint="33"/>
            <w:noWrap/>
            <w:vAlign w:val="center"/>
          </w:tcPr>
          <w:p>
            <w:pPr>
              <w:spacing w:after="0"/>
              <w:jc w:val="right"/>
              <w:rPr>
                <w:rFonts w:cstheme="minorHAnsi"/>
                <w:sz w:val="18"/>
                <w:szCs w:val="18"/>
              </w:rPr>
            </w:pPr>
            <w:r>
              <w:rPr>
                <w:rFonts w:cstheme="minorHAnsi"/>
                <w:color w:val="000000"/>
                <w:sz w:val="18"/>
                <w:szCs w:val="18"/>
              </w:rPr>
              <w:t>104</w:t>
            </w:r>
          </w:p>
        </w:tc>
        <w:tc>
          <w:tcPr>
            <w:tcW w:w="779"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43</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261</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156</w:t>
            </w:r>
          </w:p>
        </w:tc>
      </w:tr>
      <w:tr>
        <w:trPr>
          <w:trHeight w:val="340"/>
        </w:trPr>
        <w:tc>
          <w:tcPr>
            <w:tcW w:w="1445" w:type="dxa"/>
            <w:shd w:val="clear" w:color="auto" w:fill="EAF1DD" w:themeFill="accent3" w:themeFillTint="33"/>
            <w:vAlign w:val="center"/>
            <w:hideMark/>
          </w:tcPr>
          <w:p>
            <w:pPr>
              <w:spacing w:after="0"/>
              <w:rPr>
                <w:sz w:val="18"/>
                <w:szCs w:val="18"/>
              </w:rPr>
            </w:pPr>
            <w:r>
              <w:rPr>
                <w:sz w:val="18"/>
                <w:szCs w:val="18"/>
              </w:rPr>
              <w:t>Barito Timur</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25</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3</w:t>
            </w:r>
          </w:p>
        </w:tc>
        <w:tc>
          <w:tcPr>
            <w:tcW w:w="780" w:type="dxa"/>
            <w:shd w:val="clear" w:color="auto" w:fill="EAF1DD" w:themeFill="accent3" w:themeFillTint="33"/>
            <w:noWrap/>
            <w:vAlign w:val="center"/>
          </w:tcPr>
          <w:p>
            <w:pPr>
              <w:spacing w:after="0"/>
              <w:jc w:val="right"/>
              <w:rPr>
                <w:rFonts w:cstheme="minorHAnsi"/>
                <w:sz w:val="18"/>
                <w:szCs w:val="18"/>
              </w:rPr>
            </w:pPr>
            <w:r>
              <w:rPr>
                <w:rFonts w:cstheme="minorHAnsi"/>
                <w:color w:val="000000"/>
                <w:sz w:val="18"/>
                <w:szCs w:val="18"/>
              </w:rPr>
              <w:t>90</w:t>
            </w:r>
          </w:p>
        </w:tc>
        <w:tc>
          <w:tcPr>
            <w:tcW w:w="779"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31</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219</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173</w:t>
            </w:r>
          </w:p>
        </w:tc>
      </w:tr>
      <w:tr>
        <w:trPr>
          <w:trHeight w:val="340"/>
        </w:trPr>
        <w:tc>
          <w:tcPr>
            <w:tcW w:w="1445" w:type="dxa"/>
            <w:shd w:val="clear" w:color="auto" w:fill="E5DFEC" w:themeFill="accent4" w:themeFillTint="33"/>
            <w:vAlign w:val="center"/>
            <w:hideMark/>
          </w:tcPr>
          <w:p>
            <w:pPr>
              <w:spacing w:after="0"/>
              <w:rPr>
                <w:sz w:val="18"/>
                <w:szCs w:val="18"/>
              </w:rPr>
            </w:pPr>
            <w:r>
              <w:rPr>
                <w:sz w:val="18"/>
                <w:szCs w:val="18"/>
              </w:rPr>
              <w:t>Murung Raya</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19</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4</w:t>
            </w:r>
          </w:p>
        </w:tc>
        <w:tc>
          <w:tcPr>
            <w:tcW w:w="780" w:type="dxa"/>
            <w:shd w:val="clear" w:color="auto" w:fill="E5DFEC" w:themeFill="accent4" w:themeFillTint="33"/>
            <w:noWrap/>
            <w:vAlign w:val="center"/>
          </w:tcPr>
          <w:p>
            <w:pPr>
              <w:spacing w:after="0"/>
              <w:jc w:val="right"/>
              <w:rPr>
                <w:rFonts w:cstheme="minorHAnsi"/>
                <w:sz w:val="18"/>
                <w:szCs w:val="18"/>
              </w:rPr>
            </w:pPr>
            <w:r>
              <w:rPr>
                <w:rFonts w:cstheme="minorHAnsi"/>
                <w:color w:val="000000"/>
                <w:sz w:val="18"/>
                <w:szCs w:val="18"/>
              </w:rPr>
              <w:t>111</w:t>
            </w:r>
          </w:p>
        </w:tc>
        <w:tc>
          <w:tcPr>
            <w:tcW w:w="779"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42</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127</w:t>
            </w:r>
          </w:p>
        </w:tc>
        <w:tc>
          <w:tcPr>
            <w:tcW w:w="780" w:type="dxa"/>
            <w:shd w:val="clear" w:color="auto" w:fill="E5DFEC" w:themeFill="accent4" w:themeFillTint="33"/>
            <w:vAlign w:val="center"/>
          </w:tcPr>
          <w:p>
            <w:pPr>
              <w:spacing w:after="0"/>
              <w:jc w:val="right"/>
              <w:rPr>
                <w:rFonts w:cstheme="minorHAnsi"/>
                <w:sz w:val="18"/>
                <w:szCs w:val="18"/>
              </w:rPr>
            </w:pPr>
            <w:r>
              <w:rPr>
                <w:rFonts w:cstheme="minorHAnsi"/>
                <w:color w:val="000000"/>
                <w:sz w:val="18"/>
                <w:szCs w:val="18"/>
              </w:rPr>
              <w:t>74</w:t>
            </w:r>
          </w:p>
        </w:tc>
      </w:tr>
      <w:tr>
        <w:trPr>
          <w:trHeight w:val="340"/>
        </w:trPr>
        <w:tc>
          <w:tcPr>
            <w:tcW w:w="1445" w:type="dxa"/>
            <w:shd w:val="clear" w:color="auto" w:fill="EAF1DD" w:themeFill="accent3" w:themeFillTint="33"/>
            <w:vAlign w:val="center"/>
            <w:hideMark/>
          </w:tcPr>
          <w:p>
            <w:pPr>
              <w:spacing w:after="0"/>
              <w:rPr>
                <w:sz w:val="18"/>
                <w:szCs w:val="18"/>
              </w:rPr>
            </w:pPr>
            <w:r>
              <w:rPr>
                <w:sz w:val="18"/>
                <w:szCs w:val="18"/>
              </w:rPr>
              <w:t>Palangka Raya</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20</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9</w:t>
            </w:r>
          </w:p>
        </w:tc>
        <w:tc>
          <w:tcPr>
            <w:tcW w:w="780" w:type="dxa"/>
            <w:shd w:val="clear" w:color="auto" w:fill="EAF1DD" w:themeFill="accent3" w:themeFillTint="33"/>
            <w:noWrap/>
            <w:vAlign w:val="center"/>
          </w:tcPr>
          <w:p>
            <w:pPr>
              <w:spacing w:after="0"/>
              <w:jc w:val="right"/>
              <w:rPr>
                <w:rFonts w:cstheme="minorHAnsi"/>
                <w:sz w:val="18"/>
                <w:szCs w:val="18"/>
              </w:rPr>
            </w:pPr>
            <w:r>
              <w:rPr>
                <w:rFonts w:cstheme="minorHAnsi"/>
                <w:color w:val="000000"/>
                <w:sz w:val="18"/>
                <w:szCs w:val="18"/>
              </w:rPr>
              <w:t>96</w:t>
            </w:r>
          </w:p>
        </w:tc>
        <w:tc>
          <w:tcPr>
            <w:tcW w:w="779"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54</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354</w:t>
            </w:r>
          </w:p>
        </w:tc>
        <w:tc>
          <w:tcPr>
            <w:tcW w:w="780" w:type="dxa"/>
            <w:shd w:val="clear" w:color="auto" w:fill="EAF1DD" w:themeFill="accent3" w:themeFillTint="33"/>
            <w:vAlign w:val="center"/>
          </w:tcPr>
          <w:p>
            <w:pPr>
              <w:spacing w:after="0"/>
              <w:jc w:val="right"/>
              <w:rPr>
                <w:rFonts w:cstheme="minorHAnsi"/>
                <w:sz w:val="18"/>
                <w:szCs w:val="18"/>
              </w:rPr>
            </w:pPr>
            <w:r>
              <w:rPr>
                <w:rFonts w:cstheme="minorHAnsi"/>
                <w:color w:val="000000"/>
                <w:sz w:val="18"/>
                <w:szCs w:val="18"/>
              </w:rPr>
              <w:t>268</w:t>
            </w:r>
          </w:p>
        </w:tc>
      </w:tr>
    </w:tbl>
    <w:p>
      <w:pPr>
        <w:ind w:left="567" w:hanging="141"/>
        <w:jc w:val="both"/>
        <w:rPr>
          <w:lang w:val="en-US"/>
        </w:rPr>
      </w:pPr>
      <w:r>
        <w:rPr>
          <w:i/>
          <w:sz w:val="18"/>
          <w:szCs w:val="18"/>
        </w:rPr>
        <w:lastRenderedPageBreak/>
        <w:t>Sumber: Badan Kepegawaian Daerah Provinsi</w:t>
      </w:r>
    </w:p>
    <w:p>
      <w:pPr>
        <w:jc w:val="both"/>
        <w:rPr>
          <w:lang w:val="en-US"/>
        </w:rPr>
      </w:pPr>
    </w:p>
    <w:p>
      <w:pPr>
        <w:jc w:val="both"/>
        <w:rPr>
          <w:lang w:val="en-US"/>
        </w:rPr>
      </w:pPr>
    </w:p>
    <w:p>
      <w:pPr>
        <w:jc w:val="both"/>
        <w:rPr>
          <w:lang w:val="en-US"/>
        </w:rPr>
      </w:pPr>
      <w:r>
        <w:rPr>
          <w:noProof/>
          <w:lang w:val="en-ID" w:eastAsia="en-ID"/>
        </w:rPr>
        <mc:AlternateContent>
          <mc:Choice Requires="wps">
            <w:drawing>
              <wp:anchor distT="0" distB="0" distL="114300" distR="114300" simplePos="0" relativeHeight="251734528" behindDoc="0" locked="0" layoutInCell="1" allowOverlap="1">
                <wp:simplePos x="0" y="0"/>
                <wp:positionH relativeFrom="page">
                  <wp:align>left</wp:align>
                </wp:positionH>
                <wp:positionV relativeFrom="paragraph">
                  <wp:posOffset>-895416</wp:posOffset>
                </wp:positionV>
                <wp:extent cx="5319716" cy="866899"/>
                <wp:effectExtent l="0" t="0" r="14605" b="28575"/>
                <wp:wrapNone/>
                <wp:docPr id="103" name="Rectangle 103"/>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0DBF5" id="Rectangle 103" o:spid="_x0000_s1026" style="position:absolute;margin-left:0;margin-top:-70.5pt;width:418.9pt;height:68.25pt;z-index:2517345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" fillcolor="white [3212]" strokecolor="white [3212]" strokeweight="2pt">
                <w10:wrap anchorx="page"/>
              </v:rect>
            </w:pict>
          </mc:Fallback>
        </mc:AlternateContent>
      </w: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r>
        <w:rPr>
          <w:noProof/>
          <w:lang w:val="en-ID" w:eastAsia="en-ID"/>
        </w:rPr>
        <mc:AlternateContent>
          <mc:Choice Requires="wps">
            <w:drawing>
              <wp:anchor distT="0" distB="0" distL="114300" distR="114300" simplePos="0" relativeHeight="251736576" behindDoc="0" locked="0" layoutInCell="1" allowOverlap="1">
                <wp:simplePos x="0" y="0"/>
                <wp:positionH relativeFrom="page">
                  <wp:align>left</wp:align>
                </wp:positionH>
                <wp:positionV relativeFrom="paragraph">
                  <wp:posOffset>223050</wp:posOffset>
                </wp:positionV>
                <wp:extent cx="5319716" cy="866899"/>
                <wp:effectExtent l="0" t="0" r="14605" b="28575"/>
                <wp:wrapNone/>
                <wp:docPr id="104" name="Rectangle 104"/>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BD2233" id="Rectangle 104" o:spid="_x0000_s1026" style="position:absolute;margin-left:0;margin-top:17.55pt;width:418.9pt;height:68.25pt;z-index:25173657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" fillcolor="white [3212]" strokecolor="white [3212]" strokeweight="2pt">
                <w10:wrap anchorx="page"/>
              </v:rect>
            </w:pict>
          </mc:Fallback>
        </mc:AlternateContent>
      </w:r>
    </w:p>
    <w:p>
      <w:pPr>
        <w:jc w:val="both"/>
        <w:rPr>
          <w:lang w:val="en-US"/>
        </w:rPr>
      </w:pPr>
      <w:r>
        <w:rPr>
          <w:noProof/>
          <w:lang w:val="en-ID" w:eastAsia="en-ID"/>
        </w:rPr>
        <w:drawing>
          <wp:anchor distT="0" distB="0" distL="114300" distR="114300" simplePos="0" relativeHeight="251713024" behindDoc="0" locked="0" layoutInCell="1" allowOverlap="1">
            <wp:simplePos x="0" y="0"/>
            <wp:positionH relativeFrom="page">
              <wp:align>left</wp:align>
            </wp:positionH>
            <wp:positionV relativeFrom="paragraph">
              <wp:posOffset>-919480</wp:posOffset>
            </wp:positionV>
            <wp:extent cx="5340310" cy="7540831"/>
            <wp:effectExtent l="0" t="0" r="0" b="317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44308" cy="7546477"/>
                    </a:xfrm>
                    <a:prstGeom prst="rect">
                      <a:avLst/>
                    </a:prstGeom>
                  </pic:spPr>
                </pic:pic>
              </a:graphicData>
            </a:graphic>
            <wp14:sizeRelH relativeFrom="page">
              <wp14:pctWidth>0</wp14:pctWidth>
            </wp14:sizeRelH>
            <wp14:sizeRelV relativeFrom="page">
              <wp14:pctHeight>0</wp14:pctHeight>
            </wp14:sizeRelV>
          </wp:anchor>
        </w:drawing>
      </w:r>
    </w:p>
    <w:p>
      <w:pPr>
        <w:jc w:val="both"/>
        <w:rPr>
          <w:lang w:val="en-US"/>
        </w:rPr>
      </w:pPr>
      <w:r>
        <w:rPr>
          <w:lang w:val="en-US"/>
        </w:rPr>
        <w:t>Infografis Ekonomi dan Tenagakerja</w:t>
      </w: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r>
        <w:rPr>
          <w:noProof/>
          <w:lang w:val="en-ID" w:eastAsia="en-ID"/>
        </w:rPr>
        <mc:AlternateContent>
          <mc:Choice Requires="wps">
            <w:drawing>
              <wp:anchor distT="0" distB="0" distL="114300" distR="114300" simplePos="0" relativeHeight="251730432" behindDoc="0" locked="0" layoutInCell="1" allowOverlap="1">
                <wp:simplePos x="0" y="0"/>
                <wp:positionH relativeFrom="page">
                  <wp:align>right</wp:align>
                </wp:positionH>
                <wp:positionV relativeFrom="paragraph">
                  <wp:posOffset>-890254</wp:posOffset>
                </wp:positionV>
                <wp:extent cx="5319716" cy="866899"/>
                <wp:effectExtent l="0" t="0" r="14605" b="28575"/>
                <wp:wrapNone/>
                <wp:docPr id="101" name="Rectangle 101"/>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54F36F" id="Rectangle 101" o:spid="_x0000_s1026" style="position:absolute;margin-left:367.7pt;margin-top:-70.1pt;width:418.9pt;height:68.25pt;z-index:2517304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" fillcolor="white [3212]" strokecolor="white [3212]" strokeweight="2pt">
                <w10:wrap anchorx="page"/>
              </v:rect>
            </w:pict>
          </mc:Fallback>
        </mc:AlternateContent>
      </w: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lang w:val="en-US"/>
        </w:rPr>
      </w:pPr>
      <w:r>
        <w:rPr>
          <w:noProof/>
          <w:lang w:val="en-ID" w:eastAsia="en-ID"/>
        </w:rPr>
        <mc:AlternateContent>
          <mc:Choice Requires="wps">
            <w:drawing>
              <wp:anchor distT="0" distB="0" distL="114300" distR="114300" simplePos="0" relativeHeight="251732480" behindDoc="0" locked="0" layoutInCell="1" allowOverlap="1">
                <wp:simplePos x="0" y="0"/>
                <wp:positionH relativeFrom="page">
                  <wp:align>right</wp:align>
                </wp:positionH>
                <wp:positionV relativeFrom="paragraph">
                  <wp:posOffset>228971</wp:posOffset>
                </wp:positionV>
                <wp:extent cx="5319716" cy="866899"/>
                <wp:effectExtent l="0" t="0" r="14605" b="28575"/>
                <wp:wrapNone/>
                <wp:docPr id="102" name="Rectangle 102"/>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AFCEC" id="Rectangle 102" o:spid="_x0000_s1026" style="position:absolute;margin-left:367.7pt;margin-top:18.05pt;width:418.9pt;height:68.25pt;z-index:251732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" fillcolor="white [3212]" strokecolor="white [3212]" strokeweight="2pt">
                <w10:wrap anchorx="page"/>
              </v:rect>
            </w:pict>
          </mc:Fallback>
        </mc:AlternateContent>
      </w:r>
    </w:p>
    <w:p>
      <w:pPr>
        <w:pStyle w:val="Heading1"/>
        <w:spacing w:after="0"/>
        <w:rPr>
          <w:rFonts w:asciiTheme="minorHAnsi" w:hAnsiTheme="minorHAnsi" w:cstheme="minorHAnsi"/>
          <w:noProof/>
          <w:color w:val="000000" w:themeColor="text1"/>
          <w:sz w:val="32"/>
          <w:lang w:val="en-US" w:eastAsia="id-ID"/>
        </w:rPr>
      </w:pPr>
      <w:bookmarkStart w:id="102" w:name="_Toc118715999"/>
      <w:r>
        <w:rPr>
          <w:rFonts w:asciiTheme="minorHAnsi" w:hAnsiTheme="minorHAnsi" w:cstheme="minorHAnsi"/>
          <w:noProof/>
          <w:color w:val="000000" w:themeColor="text1"/>
          <w:sz w:val="32"/>
          <w:lang w:val="en-US" w:eastAsia="id-ID"/>
        </w:rPr>
        <w:t>BAB VII</w:t>
      </w:r>
      <w:bookmarkEnd w:id="102"/>
    </w:p>
    <w:p>
      <w:pPr>
        <w:pStyle w:val="Title"/>
        <w:rPr>
          <w:noProof/>
          <w:sz w:val="32"/>
          <w:szCs w:val="32"/>
          <w:lang w:eastAsia="id-ID"/>
        </w:rPr>
      </w:pPr>
      <w:r>
        <w:rPr>
          <w:noProof/>
          <w:sz w:val="32"/>
          <w:szCs w:val="32"/>
          <w:lang w:eastAsia="id-ID"/>
        </w:rPr>
        <w:t>EKONOMI DAN TENAGAKERJA</w:t>
      </w:r>
    </w:p>
    <w:p>
      <w:pPr>
        <w:pStyle w:val="Title"/>
        <w:rPr>
          <w:noProof/>
          <w:sz w:val="32"/>
          <w:szCs w:val="32"/>
          <w:lang w:eastAsia="id-ID"/>
        </w:rPr>
      </w:pPr>
    </w:p>
    <w:p>
      <w:pPr>
        <w:spacing w:after="0" w:line="360" w:lineRule="auto"/>
        <w:ind w:left="284" w:firstLine="567"/>
        <w:jc w:val="both"/>
        <w:rPr>
          <w:sz w:val="20"/>
          <w:szCs w:val="20"/>
        </w:rPr>
      </w:pPr>
      <w:r>
        <w:rPr>
          <w:sz w:val="20"/>
          <w:szCs w:val="20"/>
        </w:rPr>
        <w:t xml:space="preserve">Seiring dengan berjalannya waktu, partisipasi perempuan dalam kegiatan ekonomi dan ketenagakerjaan menunjukkan adanya peningkatan. Meskipun demikian, masih terjadi kesenjangan gender atau </w:t>
      </w:r>
      <w:r>
        <w:rPr>
          <w:i/>
          <w:sz w:val="20"/>
          <w:szCs w:val="20"/>
        </w:rPr>
        <w:t xml:space="preserve">gender gap </w:t>
      </w:r>
      <w:r>
        <w:rPr>
          <w:sz w:val="20"/>
          <w:szCs w:val="20"/>
        </w:rPr>
        <w:t xml:space="preserve">yang berkaitan dengan jenis pekerjaan atau </w:t>
      </w:r>
      <w:r>
        <w:rPr>
          <w:i/>
          <w:sz w:val="20"/>
          <w:szCs w:val="20"/>
        </w:rPr>
        <w:t xml:space="preserve">occupation </w:t>
      </w:r>
      <w:r>
        <w:rPr>
          <w:iCs/>
          <w:sz w:val="20"/>
          <w:szCs w:val="20"/>
        </w:rPr>
        <w:t>di berbagai sisi.</w:t>
      </w:r>
      <w:r>
        <w:rPr>
          <w:sz w:val="20"/>
          <w:szCs w:val="20"/>
        </w:rPr>
        <w:t xml:space="preserve"> Hal ini berkaitan dengan adanya </w:t>
      </w:r>
      <w:r>
        <w:rPr>
          <w:i/>
          <w:sz w:val="20"/>
          <w:szCs w:val="20"/>
        </w:rPr>
        <w:t>stereotyping</w:t>
      </w:r>
      <w:r>
        <w:rPr>
          <w:sz w:val="20"/>
          <w:szCs w:val="20"/>
        </w:rPr>
        <w:t xml:space="preserve"> dan </w:t>
      </w:r>
      <w:r>
        <w:rPr>
          <w:i/>
          <w:sz w:val="20"/>
          <w:szCs w:val="20"/>
        </w:rPr>
        <w:t>labour market</w:t>
      </w:r>
      <w:r>
        <w:rPr>
          <w:sz w:val="20"/>
          <w:szCs w:val="20"/>
        </w:rPr>
        <w:t xml:space="preserve"> (</w:t>
      </w:r>
      <w:r>
        <w:rPr>
          <w:i/>
          <w:sz w:val="20"/>
          <w:szCs w:val="20"/>
        </w:rPr>
        <w:t>supply</w:t>
      </w:r>
      <w:r>
        <w:rPr>
          <w:sz w:val="20"/>
          <w:szCs w:val="20"/>
        </w:rPr>
        <w:t xml:space="preserve"> dan </w:t>
      </w:r>
      <w:r>
        <w:rPr>
          <w:i/>
          <w:sz w:val="20"/>
          <w:szCs w:val="20"/>
        </w:rPr>
        <w:t>demand</w:t>
      </w:r>
      <w:r>
        <w:rPr>
          <w:sz w:val="20"/>
          <w:szCs w:val="20"/>
        </w:rPr>
        <w:t xml:space="preserve"> tenaga kerja) dalam kerangka teori neoklasik. </w:t>
      </w:r>
      <w:r>
        <w:rPr>
          <w:i/>
          <w:sz w:val="20"/>
          <w:szCs w:val="20"/>
        </w:rPr>
        <w:t>Stereotyping</w:t>
      </w:r>
      <w:r>
        <w:rPr>
          <w:sz w:val="20"/>
          <w:szCs w:val="20"/>
        </w:rPr>
        <w:t xml:space="preserve"> dalam jenis pekerjaan antara lain menghasilkan anggapan bahwa jenis pekerjaan yang sesuai bagi perempuan pada umumnya berkaitan dengan hal-hal yang sifatnya mengasuh dan menjaga (</w:t>
      </w:r>
      <w:r>
        <w:rPr>
          <w:i/>
          <w:sz w:val="20"/>
          <w:szCs w:val="20"/>
        </w:rPr>
        <w:t>taking care</w:t>
      </w:r>
      <w:r>
        <w:rPr>
          <w:sz w:val="20"/>
          <w:szCs w:val="20"/>
        </w:rPr>
        <w:t>). Teori neoklasik dalam pasar tenaga kerja menganggap bahwa perempuan pada umumnya berpendidikan rendah daripada laki-laki, bidang pendidikan atau jurusan mereka kurang relevan dengan formasi pekerjaan yang ada, produktivitas rendah, serta tingkat keluar-masuk mereka dari dan ke pekerjaan tinggi karena pengaruh menikah, mempunyai anak, dan sebagainya (Anker, 1998).</w:t>
      </w:r>
    </w:p>
    <w:p>
      <w:pPr>
        <w:spacing w:after="0" w:line="360" w:lineRule="auto"/>
        <w:ind w:left="284" w:firstLine="709"/>
        <w:jc w:val="both"/>
        <w:rPr>
          <w:sz w:val="20"/>
          <w:szCs w:val="20"/>
        </w:rPr>
      </w:pPr>
      <w:r>
        <w:rPr>
          <w:i/>
          <w:sz w:val="20"/>
          <w:szCs w:val="20"/>
        </w:rPr>
        <w:t>Stereotyping</w:t>
      </w:r>
      <w:r>
        <w:rPr>
          <w:sz w:val="20"/>
          <w:szCs w:val="20"/>
        </w:rPr>
        <w:t xml:space="preserve"> yang terjadi sampai saat ini berakibat pada tenaga kerja perempuan yang </w:t>
      </w:r>
      <w:r>
        <w:rPr>
          <w:i/>
          <w:sz w:val="20"/>
          <w:szCs w:val="20"/>
        </w:rPr>
        <w:t>oversupplied</w:t>
      </w:r>
      <w:r>
        <w:rPr>
          <w:sz w:val="20"/>
          <w:szCs w:val="20"/>
        </w:rPr>
        <w:t xml:space="preserve"> di sektor-sektor pengasuhan seperti kesehatan dan pendidikan dan </w:t>
      </w:r>
      <w:r>
        <w:rPr>
          <w:i/>
          <w:sz w:val="20"/>
          <w:szCs w:val="20"/>
        </w:rPr>
        <w:t>undersuplied</w:t>
      </w:r>
      <w:r>
        <w:rPr>
          <w:sz w:val="20"/>
          <w:szCs w:val="20"/>
        </w:rPr>
        <w:t xml:space="preserve"> di sektor-sektor teknis seperti </w:t>
      </w:r>
      <w:r>
        <w:rPr>
          <w:sz w:val="20"/>
          <w:szCs w:val="20"/>
        </w:rPr>
        <w:lastRenderedPageBreak/>
        <w:t xml:space="preserve">perindustrian, pertambangan, dan sejenisnya. Penganut teori neoklasik tentu akan menempatkan perempuan dalam jenis-jenis pekerjaan yang memerlukan lebih banyak otot daripada otak atau lebih banyak ketelitian dan kesabaran daripada pengambil keputusan, pendeknya pekerjaan dengan upah/ gaji/ pendapatan relatif rendah. Lebih jauh lagi, teori neoklasik dapat mengakibatkan perempuan dibayar lebih rendah daripada laki-laki meskipun mereka mempekerjakan pekerjaan yang sama. </w:t>
      </w:r>
    </w:p>
    <w:p>
      <w:pPr>
        <w:spacing w:after="0" w:line="360" w:lineRule="auto"/>
        <w:ind w:left="284" w:firstLine="567"/>
        <w:jc w:val="both"/>
        <w:rPr>
          <w:sz w:val="20"/>
          <w:szCs w:val="20"/>
        </w:rPr>
      </w:pPr>
      <w:r>
        <w:rPr>
          <w:sz w:val="20"/>
          <w:szCs w:val="20"/>
        </w:rPr>
        <w:t>Selama ini besarnya kontribusi perempuan dalam mendukung bergeraknya kegiatan ekonomi khususnya dalam penghitungan Produk Domestik Bruto (PDB) belum dapat diketahui secara pasti, namun nampaknya peran perempuan dalam perekonomian menunjukkan adanya kemajuan, tercermin dari semakin meningkatnya peran serta perempuan di berbagai bidang kegiatan, baik sosial maupun ekonomi, dari tahun ke tahun. Peningkatan ini rasanya tidak lepas dari peran kebijakan pemerintah yang memberikan peluang yang sama kepada laki-laki dan perempuan dalam hal partisipasi, akses kontrol, dan manfaat dalam pembangunan (Surbakti, 2001).</w:t>
      </w:r>
    </w:p>
    <w:p>
      <w:pPr>
        <w:spacing w:after="0" w:line="360" w:lineRule="auto"/>
        <w:ind w:left="284" w:firstLine="567"/>
        <w:jc w:val="both"/>
        <w:rPr>
          <w:sz w:val="20"/>
          <w:szCs w:val="20"/>
        </w:rPr>
      </w:pPr>
      <w:r>
        <w:rPr>
          <w:sz w:val="20"/>
          <w:szCs w:val="20"/>
        </w:rPr>
        <w:t xml:space="preserve">Dalam analisis profil data terpilah ini, masalah ketenagakerjaan dan kegiatan ekonomi akan dibahas melalui beberapa indikator yang terpilah menurut jenis kelamin, yaitu tingkat partisipasi angkatan kerja, pengangguran, pekerja formal dan informal, pekerja tak dibayar </w:t>
      </w:r>
      <w:r>
        <w:rPr>
          <w:i/>
          <w:sz w:val="20"/>
          <w:szCs w:val="20"/>
        </w:rPr>
        <w:t>(unpaid worker)</w:t>
      </w:r>
      <w:r>
        <w:rPr>
          <w:sz w:val="20"/>
          <w:szCs w:val="20"/>
        </w:rPr>
        <w:t xml:space="preserve"> dan pekerja profesional dan kepemimpinan. Dalam pengukuran indikator ketenagakerjaan khususunya melalui pendekatan rumah tangga berdasarkan periode rujukan (</w:t>
      </w:r>
      <w:r>
        <w:rPr>
          <w:i/>
          <w:sz w:val="20"/>
          <w:szCs w:val="20"/>
        </w:rPr>
        <w:t>time reference</w:t>
      </w:r>
      <w:r>
        <w:rPr>
          <w:sz w:val="20"/>
          <w:szCs w:val="20"/>
        </w:rPr>
        <w:t xml:space="preserve">) kegiatan yang dilakukan responden selama seminggu yang lalu pada survei (Sakernas). Dan dalam </w:t>
      </w:r>
      <w:r>
        <w:rPr>
          <w:sz w:val="20"/>
          <w:szCs w:val="20"/>
        </w:rPr>
        <w:lastRenderedPageBreak/>
        <w:t>pembahasan bab ini, untuk data indikator ketenagakerjaan yang mencakup kabupaten/kota ditampilkan sampai kondisi Agustus 2021.</w:t>
      </w:r>
    </w:p>
    <w:p>
      <w:pPr>
        <w:spacing w:after="0" w:line="360" w:lineRule="auto"/>
        <w:ind w:firstLine="993"/>
        <w:jc w:val="both"/>
        <w:rPr>
          <w:sz w:val="20"/>
          <w:szCs w:val="20"/>
        </w:rPr>
      </w:pPr>
    </w:p>
    <w:p>
      <w:pPr>
        <w:spacing w:after="0" w:line="360" w:lineRule="auto"/>
        <w:ind w:firstLine="993"/>
        <w:jc w:val="both"/>
        <w:rPr>
          <w:sz w:val="20"/>
          <w:szCs w:val="20"/>
        </w:rPr>
      </w:pPr>
    </w:p>
    <w:p>
      <w:pPr>
        <w:spacing w:after="0" w:line="360" w:lineRule="auto"/>
        <w:ind w:firstLine="993"/>
        <w:jc w:val="both"/>
        <w:rPr>
          <w:sz w:val="20"/>
          <w:szCs w:val="20"/>
        </w:rPr>
      </w:pPr>
    </w:p>
    <w:p>
      <w:pPr>
        <w:pStyle w:val="Heading2"/>
        <w:numPr>
          <w:ilvl w:val="0"/>
          <w:numId w:val="0"/>
        </w:numPr>
        <w:ind w:left="709" w:hanging="425"/>
        <w:jc w:val="both"/>
        <w:rPr>
          <w:sz w:val="20"/>
          <w:szCs w:val="20"/>
        </w:rPr>
      </w:pPr>
      <w:bookmarkStart w:id="103" w:name="_Toc118716000"/>
      <w:r>
        <w:rPr>
          <w:rStyle w:val="Heading2Char"/>
          <w:rFonts w:asciiTheme="minorHAnsi" w:hAnsiTheme="minorHAnsi" w:cstheme="minorHAnsi"/>
          <w:b/>
          <w:bCs/>
          <w:sz w:val="20"/>
          <w:szCs w:val="20"/>
          <w:lang w:val="en-US"/>
        </w:rPr>
        <w:t>7.1</w:t>
      </w:r>
      <w:r>
        <w:rPr>
          <w:rStyle w:val="Heading2Char"/>
          <w:rFonts w:asciiTheme="minorHAnsi" w:hAnsiTheme="minorHAnsi" w:cstheme="minorHAnsi"/>
          <w:b/>
          <w:bCs/>
          <w:sz w:val="20"/>
          <w:szCs w:val="20"/>
        </w:rPr>
        <w:tab/>
      </w:r>
      <w:r>
        <w:rPr>
          <w:sz w:val="20"/>
          <w:szCs w:val="20"/>
        </w:rPr>
        <w:t>Komposisi Penduduk Usia Kerja</w:t>
      </w:r>
      <w:bookmarkEnd w:id="103"/>
    </w:p>
    <w:p>
      <w:pPr>
        <w:spacing w:after="0" w:line="360" w:lineRule="auto"/>
        <w:ind w:left="284" w:firstLine="567"/>
        <w:jc w:val="both"/>
        <w:rPr>
          <w:sz w:val="20"/>
          <w:szCs w:val="20"/>
        </w:rPr>
      </w:pPr>
      <w:r>
        <w:rPr>
          <w:sz w:val="20"/>
          <w:szCs w:val="20"/>
        </w:rPr>
        <w:t xml:space="preserve">Pertumbuhan penduduk usia kerja yang merupakan refleksi dari pertumbuhan penduduk secara keseluruhan sangat mempengaruhi pertumbuhan ketenagakerjaan. Partisipasi ketenagakerjaan seseorang ditentukan oleh kegiatan utama dalam seminggu yang lalu sebelum hari pendataan Sakernas. Kegiatan dibagi dalam dua golongan besar yaitu kegiatan yang bersifat aktif secara ekonomi (angkatan kerja) dan kegiatan yang tidak bersifat aktif secara ekonomi (bukan angkatan kerja). </w:t>
      </w: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Kategori angkatan kerja mencakup penduduk usia kerja yang terlibat  dalam kegiatan ekonomi, yaitu mereka yang bekerja dan atau mencari pekerjaan. Selanjutnya, penduduk usia kerja yang tidak berpartisipasi dalam kegiatan ekonomi tercakup dalam kategori bukan angkatan kerja yaitu mereka yang bersekolah, mengurus rumah tangga, dan kegiatan lainnya. Dalam profil ini, yang dimaksudkan dengan penduduk usia kerja adalah penduduk yang berumur 15 tahun dan atau lebih. </w:t>
      </w:r>
    </w:p>
    <w:p>
      <w:pPr>
        <w:pStyle w:val="BodyTextIndent2"/>
        <w:spacing w:after="0" w:line="360" w:lineRule="auto"/>
        <w:ind w:left="0"/>
        <w:jc w:val="both"/>
        <w:rPr>
          <w:rFonts w:asciiTheme="minorHAnsi" w:hAnsiTheme="minorHAnsi"/>
          <w:sz w:val="22"/>
          <w:szCs w:val="22"/>
        </w:rPr>
      </w:pPr>
    </w:p>
    <w:p>
      <w:pPr>
        <w:pStyle w:val="BodyTextIndent2"/>
        <w:spacing w:after="0" w:line="360" w:lineRule="auto"/>
        <w:ind w:left="0"/>
        <w:jc w:val="both"/>
        <w:rPr>
          <w:rFonts w:asciiTheme="minorHAnsi" w:hAnsiTheme="minorHAnsi"/>
          <w:sz w:val="22"/>
          <w:szCs w:val="22"/>
        </w:rPr>
      </w:pPr>
    </w:p>
    <w:p>
      <w:pPr>
        <w:pStyle w:val="BodyTextIndent2"/>
        <w:spacing w:after="0" w:line="360" w:lineRule="auto"/>
        <w:ind w:left="0"/>
        <w:jc w:val="both"/>
        <w:rPr>
          <w:rFonts w:asciiTheme="minorHAnsi" w:hAnsiTheme="minorHAnsi"/>
          <w:sz w:val="22"/>
          <w:szCs w:val="22"/>
        </w:rPr>
      </w:pPr>
    </w:p>
    <w:p>
      <w:pPr>
        <w:pStyle w:val="BodyTextIndent2"/>
        <w:spacing w:after="0" w:line="360" w:lineRule="auto"/>
        <w:ind w:left="0"/>
        <w:jc w:val="both"/>
        <w:rPr>
          <w:rFonts w:asciiTheme="minorHAnsi" w:hAnsiTheme="minorHAnsi"/>
          <w:sz w:val="22"/>
          <w:szCs w:val="22"/>
        </w:rPr>
      </w:pPr>
    </w:p>
    <w:p>
      <w:pPr>
        <w:pStyle w:val="BodyTextIndent2"/>
        <w:spacing w:after="0" w:line="360" w:lineRule="auto"/>
        <w:ind w:left="0"/>
        <w:jc w:val="both"/>
        <w:rPr>
          <w:rFonts w:asciiTheme="minorHAnsi" w:hAnsiTheme="minorHAnsi"/>
          <w:sz w:val="22"/>
          <w:szCs w:val="22"/>
        </w:rPr>
      </w:pPr>
    </w:p>
    <w:p>
      <w:pPr>
        <w:pStyle w:val="BodyTextIndent2"/>
        <w:spacing w:after="0" w:line="360" w:lineRule="auto"/>
        <w:ind w:left="0"/>
        <w:jc w:val="both"/>
        <w:rPr>
          <w:rFonts w:asciiTheme="minorHAnsi" w:hAnsiTheme="minorHAnsi"/>
          <w:sz w:val="22"/>
          <w:szCs w:val="22"/>
        </w:rPr>
      </w:pPr>
    </w:p>
    <w:p>
      <w:pPr>
        <w:pStyle w:val="BodyTextIndent2"/>
        <w:spacing w:after="0" w:line="360" w:lineRule="auto"/>
        <w:ind w:left="0"/>
        <w:jc w:val="both"/>
        <w:rPr>
          <w:rFonts w:asciiTheme="minorHAnsi" w:hAnsiTheme="minorHAnsi"/>
          <w:sz w:val="22"/>
          <w:szCs w:val="22"/>
        </w:rPr>
      </w:pPr>
    </w:p>
    <w:p>
      <w:pPr>
        <w:pStyle w:val="BodyTextIndent2"/>
        <w:spacing w:after="0" w:line="360" w:lineRule="auto"/>
        <w:ind w:left="0"/>
        <w:jc w:val="both"/>
        <w:rPr>
          <w:rFonts w:asciiTheme="minorHAnsi" w:hAnsiTheme="minorHAnsi"/>
          <w:sz w:val="22"/>
          <w:szCs w:val="22"/>
        </w:rPr>
      </w:pPr>
    </w:p>
    <w:p>
      <w:pPr>
        <w:pStyle w:val="BodyTextIndent2"/>
        <w:spacing w:after="0" w:line="360" w:lineRule="auto"/>
        <w:ind w:left="0"/>
        <w:jc w:val="both"/>
        <w:rPr>
          <w:rFonts w:asciiTheme="minorHAnsi" w:hAnsiTheme="minorHAnsi"/>
          <w:sz w:val="22"/>
          <w:szCs w:val="22"/>
        </w:rPr>
      </w:pPr>
    </w:p>
    <w:p>
      <w:pPr>
        <w:pStyle w:val="Caption"/>
        <w:spacing w:after="0"/>
        <w:ind w:left="1418" w:hanging="1134"/>
        <w:jc w:val="both"/>
        <w:rPr>
          <w:b/>
          <w:bCs/>
          <w:i w:val="0"/>
          <w:iCs w:val="0"/>
          <w:color w:val="000000" w:themeColor="text1"/>
          <w:sz w:val="20"/>
          <w:szCs w:val="20"/>
        </w:rPr>
      </w:pPr>
      <w:bookmarkStart w:id="104" w:name="_Toc117519547"/>
      <w:r>
        <w:rPr>
          <w:b/>
          <w:bCs/>
          <w:i w:val="0"/>
          <w:iCs w:val="0"/>
          <w:color w:val="000000" w:themeColor="text1"/>
          <w:sz w:val="20"/>
          <w:szCs w:val="20"/>
        </w:rPr>
        <w:t xml:space="preserve">Tabel 7. </w:t>
      </w:r>
      <w:r>
        <w:rPr>
          <w:b/>
          <w:bCs/>
          <w:i w:val="0"/>
          <w:iCs w:val="0"/>
          <w:color w:val="000000" w:themeColor="text1"/>
          <w:sz w:val="20"/>
          <w:szCs w:val="20"/>
        </w:rPr>
        <w:fldChar w:fldCharType="begin"/>
      </w:r>
      <w:r>
        <w:rPr>
          <w:b/>
          <w:bCs/>
          <w:i w:val="0"/>
          <w:iCs w:val="0"/>
          <w:color w:val="000000" w:themeColor="text1"/>
          <w:sz w:val="20"/>
          <w:szCs w:val="20"/>
        </w:rPr>
        <w:instrText xml:space="preserve"> SEQ Tabel_7. \* ARABIC </w:instrText>
      </w:r>
      <w:r>
        <w:rPr>
          <w:b/>
          <w:bCs/>
          <w:i w:val="0"/>
          <w:iCs w:val="0"/>
          <w:color w:val="000000" w:themeColor="text1"/>
          <w:sz w:val="20"/>
          <w:szCs w:val="20"/>
        </w:rPr>
        <w:fldChar w:fldCharType="separate"/>
      </w:r>
      <w:r>
        <w:rPr>
          <w:b/>
          <w:bCs/>
          <w:i w:val="0"/>
          <w:iCs w:val="0"/>
          <w:noProof/>
          <w:color w:val="000000" w:themeColor="text1"/>
          <w:sz w:val="20"/>
          <w:szCs w:val="20"/>
        </w:rPr>
        <w:t>1</w:t>
      </w:r>
      <w:r>
        <w:rPr>
          <w:b/>
          <w:bCs/>
          <w:i w:val="0"/>
          <w:iCs w:val="0"/>
          <w:color w:val="000000" w:themeColor="text1"/>
          <w:sz w:val="20"/>
          <w:szCs w:val="20"/>
        </w:rPr>
        <w:fldChar w:fldCharType="end"/>
      </w:r>
      <w:r>
        <w:rPr>
          <w:b/>
          <w:bCs/>
          <w:i w:val="0"/>
          <w:iCs w:val="0"/>
          <w:color w:val="000000" w:themeColor="text1"/>
          <w:sz w:val="20"/>
          <w:szCs w:val="20"/>
        </w:rPr>
        <w:tab/>
      </w:r>
      <w:r>
        <w:rPr>
          <w:b/>
          <w:bCs/>
          <w:i w:val="0"/>
          <w:iCs w:val="0"/>
          <w:color w:val="000000" w:themeColor="text1"/>
          <w:sz w:val="20"/>
          <w:szCs w:val="20"/>
        </w:rPr>
        <w:tab/>
        <w:t>Jumlah Penduduk Usia Kerja, Angkatan Kerja dan Bukan Angkatan Kerja Menurut Jenis Kelamin dan Kabupaten/Kota, 2019 – 2021</w:t>
      </w:r>
      <w:bookmarkEnd w:id="104"/>
    </w:p>
    <w:tbl>
      <w:tblPr>
        <w:tblStyle w:val="TableGrid"/>
        <w:tblpPr w:leftFromText="180" w:rightFromText="180" w:vertAnchor="text" w:horzAnchor="margin" w:tblpY="27"/>
        <w:tblW w:w="6559" w:type="dxa"/>
        <w:tblLayout w:type="fixed"/>
        <w:tblLook w:val="04A0" w:firstRow="1" w:lastRow="0" w:firstColumn="1" w:lastColumn="0" w:noHBand="0" w:noVBand="1"/>
      </w:tblPr>
      <w:tblGrid>
        <w:gridCol w:w="1203"/>
        <w:gridCol w:w="962"/>
        <w:gridCol w:w="791"/>
        <w:gridCol w:w="11"/>
        <w:gridCol w:w="983"/>
        <w:gridCol w:w="824"/>
        <w:gridCol w:w="961"/>
        <w:gridCol w:w="824"/>
      </w:tblGrid>
      <w:tr>
        <w:trPr>
          <w:trHeight w:hRule="exact" w:val="520"/>
        </w:trPr>
        <w:tc>
          <w:tcPr>
            <w:tcW w:w="1203"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Uraian</w:t>
            </w:r>
          </w:p>
        </w:tc>
        <w:tc>
          <w:tcPr>
            <w:tcW w:w="1764" w:type="dxa"/>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2019</w:t>
            </w:r>
          </w:p>
        </w:tc>
        <w:tc>
          <w:tcPr>
            <w:tcW w:w="180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2020</w:t>
            </w:r>
          </w:p>
        </w:tc>
        <w:tc>
          <w:tcPr>
            <w:tcW w:w="178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2021</w:t>
            </w:r>
          </w:p>
        </w:tc>
      </w:tr>
      <w:tr>
        <w:trPr>
          <w:trHeight w:hRule="exact" w:val="274"/>
        </w:trPr>
        <w:tc>
          <w:tcPr>
            <w:tcW w:w="1203"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
                <w:bCs/>
                <w:color w:val="FFFFFF" w:themeColor="background1"/>
                <w:sz w:val="18"/>
                <w:szCs w:val="18"/>
              </w:rPr>
            </w:pPr>
          </w:p>
        </w:tc>
        <w:tc>
          <w:tcPr>
            <w:tcW w:w="9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L</w:t>
            </w:r>
          </w:p>
        </w:tc>
        <w:tc>
          <w:tcPr>
            <w:tcW w:w="79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P</w:t>
            </w:r>
          </w:p>
        </w:tc>
        <w:tc>
          <w:tcPr>
            <w:tcW w:w="994"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L</w:t>
            </w:r>
          </w:p>
        </w:tc>
        <w:tc>
          <w:tcPr>
            <w:tcW w:w="8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P</w:t>
            </w:r>
          </w:p>
        </w:tc>
        <w:tc>
          <w:tcPr>
            <w:tcW w:w="96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L</w:t>
            </w:r>
          </w:p>
        </w:tc>
        <w:tc>
          <w:tcPr>
            <w:tcW w:w="8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noWrap/>
            <w:vAlign w:val="center"/>
            <w:hideMark/>
          </w:tcPr>
          <w:p>
            <w:pPr>
              <w:jc w:val="center"/>
              <w:rPr>
                <w:rFonts w:cstheme="minorHAnsi"/>
                <w:b/>
                <w:bCs/>
                <w:color w:val="FFFFFF" w:themeColor="background1"/>
                <w:sz w:val="18"/>
                <w:szCs w:val="18"/>
              </w:rPr>
            </w:pPr>
            <w:r>
              <w:rPr>
                <w:rFonts w:cstheme="minorHAnsi"/>
                <w:b/>
                <w:bCs/>
                <w:color w:val="FFFFFF" w:themeColor="background1"/>
                <w:sz w:val="18"/>
                <w:szCs w:val="18"/>
              </w:rPr>
              <w:t>P</w:t>
            </w:r>
          </w:p>
        </w:tc>
      </w:tr>
      <w:tr>
        <w:trPr>
          <w:trHeight w:hRule="exact" w:val="675"/>
        </w:trPr>
        <w:tc>
          <w:tcPr>
            <w:tcW w:w="1203" w:type="dxa"/>
            <w:tcBorders>
              <w:top w:val="single" w:sz="4" w:space="0" w:color="F2F2F2" w:themeColor="background1" w:themeShade="F2"/>
            </w:tcBorders>
            <w:shd w:val="clear" w:color="auto" w:fill="E5DFEC" w:themeFill="accent4" w:themeFillTint="33"/>
            <w:vAlign w:val="center"/>
            <w:hideMark/>
          </w:tcPr>
          <w:p>
            <w:pPr>
              <w:jc w:val="both"/>
              <w:rPr>
                <w:rFonts w:cstheme="minorHAnsi"/>
                <w:b/>
                <w:bCs/>
                <w:color w:val="000000"/>
                <w:sz w:val="18"/>
                <w:szCs w:val="18"/>
              </w:rPr>
            </w:pPr>
            <w:r>
              <w:rPr>
                <w:rFonts w:cstheme="minorHAnsi"/>
                <w:b/>
                <w:bCs/>
                <w:color w:val="000000"/>
                <w:sz w:val="18"/>
                <w:szCs w:val="18"/>
              </w:rPr>
              <w:t>Jumlah Penduduk Usia Kerja</w:t>
            </w:r>
          </w:p>
        </w:tc>
        <w:tc>
          <w:tcPr>
            <w:tcW w:w="962" w:type="dxa"/>
            <w:tcBorders>
              <w:top w:val="single" w:sz="4" w:space="0" w:color="F2F2F2" w:themeColor="background1" w:themeShade="F2"/>
              <w:left w:val="nil"/>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1.039.208</w:t>
            </w:r>
          </w:p>
        </w:tc>
        <w:tc>
          <w:tcPr>
            <w:tcW w:w="791"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944.343</w:t>
            </w:r>
          </w:p>
        </w:tc>
        <w:tc>
          <w:tcPr>
            <w:tcW w:w="994" w:type="dxa"/>
            <w:gridSpan w:val="2"/>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1.056.174</w:t>
            </w:r>
          </w:p>
        </w:tc>
        <w:tc>
          <w:tcPr>
            <w:tcW w:w="824"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963.343</w:t>
            </w:r>
          </w:p>
        </w:tc>
        <w:tc>
          <w:tcPr>
            <w:tcW w:w="961"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1.073.137</w:t>
            </w:r>
          </w:p>
        </w:tc>
        <w:tc>
          <w:tcPr>
            <w:tcW w:w="824"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980.742</w:t>
            </w:r>
          </w:p>
        </w:tc>
      </w:tr>
      <w:tr>
        <w:trPr>
          <w:trHeight w:hRule="exact" w:val="514"/>
        </w:trPr>
        <w:tc>
          <w:tcPr>
            <w:tcW w:w="1203" w:type="dxa"/>
            <w:shd w:val="clear" w:color="auto" w:fill="EAF1DD" w:themeFill="accent3" w:themeFillTint="33"/>
            <w:vAlign w:val="center"/>
            <w:hideMark/>
          </w:tcPr>
          <w:p>
            <w:pPr>
              <w:jc w:val="both"/>
              <w:rPr>
                <w:rFonts w:cstheme="minorHAnsi"/>
                <w:b/>
                <w:bCs/>
                <w:color w:val="000000"/>
                <w:sz w:val="18"/>
                <w:szCs w:val="18"/>
              </w:rPr>
            </w:pPr>
            <w:r>
              <w:rPr>
                <w:rFonts w:cstheme="minorHAnsi"/>
                <w:b/>
                <w:bCs/>
                <w:color w:val="000000"/>
                <w:sz w:val="18"/>
                <w:szCs w:val="18"/>
              </w:rPr>
              <w:t>% Angkatan Kerja</w:t>
            </w:r>
          </w:p>
        </w:tc>
        <w:tc>
          <w:tcPr>
            <w:tcW w:w="962" w:type="dxa"/>
            <w:tcBorders>
              <w:top w:val="single" w:sz="4" w:space="0" w:color="auto"/>
              <w:left w:val="nil"/>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85,43</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51,53</w:t>
            </w:r>
          </w:p>
        </w:tc>
        <w:tc>
          <w:tcPr>
            <w:tcW w:w="994"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84,67</w:t>
            </w:r>
          </w:p>
        </w:tc>
        <w:tc>
          <w:tcPr>
            <w:tcW w:w="82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50,57</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84,70</w:t>
            </w:r>
          </w:p>
        </w:tc>
        <w:tc>
          <w:tcPr>
            <w:tcW w:w="82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51,12</w:t>
            </w:r>
          </w:p>
        </w:tc>
      </w:tr>
      <w:tr>
        <w:trPr>
          <w:trHeight w:hRule="exact" w:val="445"/>
        </w:trPr>
        <w:tc>
          <w:tcPr>
            <w:tcW w:w="1203" w:type="dxa"/>
            <w:shd w:val="clear" w:color="auto" w:fill="E5DFEC" w:themeFill="accent4" w:themeFillTint="33"/>
            <w:vAlign w:val="center"/>
            <w:hideMark/>
          </w:tcPr>
          <w:p>
            <w:pPr>
              <w:jc w:val="both"/>
              <w:rPr>
                <w:rFonts w:cstheme="minorHAnsi"/>
                <w:b/>
                <w:bCs/>
                <w:color w:val="000000"/>
                <w:sz w:val="18"/>
                <w:szCs w:val="18"/>
              </w:rPr>
            </w:pPr>
            <w:r>
              <w:rPr>
                <w:rFonts w:cstheme="minorHAnsi"/>
                <w:b/>
                <w:bCs/>
                <w:color w:val="000000"/>
                <w:sz w:val="18"/>
                <w:szCs w:val="18"/>
              </w:rPr>
              <w:t>% Bekerja</w:t>
            </w:r>
          </w:p>
        </w:tc>
        <w:tc>
          <w:tcPr>
            <w:tcW w:w="962" w:type="dxa"/>
            <w:tcBorders>
              <w:top w:val="single" w:sz="4" w:space="0" w:color="auto"/>
              <w:left w:val="nil"/>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82,39</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49,01</w:t>
            </w:r>
          </w:p>
        </w:tc>
        <w:tc>
          <w:tcPr>
            <w:tcW w:w="99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80,89</w:t>
            </w:r>
          </w:p>
        </w:tc>
        <w:tc>
          <w:tcPr>
            <w:tcW w:w="8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48,14</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80,97</w:t>
            </w:r>
          </w:p>
        </w:tc>
        <w:tc>
          <w:tcPr>
            <w:tcW w:w="8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48,69</w:t>
            </w:r>
          </w:p>
        </w:tc>
      </w:tr>
      <w:tr>
        <w:trPr>
          <w:trHeight w:hRule="exact" w:val="474"/>
        </w:trPr>
        <w:tc>
          <w:tcPr>
            <w:tcW w:w="1203" w:type="dxa"/>
            <w:shd w:val="clear" w:color="auto" w:fill="EAF1DD" w:themeFill="accent3" w:themeFillTint="33"/>
            <w:vAlign w:val="center"/>
            <w:hideMark/>
          </w:tcPr>
          <w:p>
            <w:pPr>
              <w:ind w:right="169"/>
              <w:jc w:val="both"/>
              <w:rPr>
                <w:rFonts w:cstheme="minorHAnsi"/>
                <w:b/>
                <w:bCs/>
                <w:color w:val="000000"/>
                <w:sz w:val="18"/>
                <w:szCs w:val="18"/>
              </w:rPr>
            </w:pPr>
            <w:r>
              <w:rPr>
                <w:rFonts w:cstheme="minorHAnsi"/>
                <w:b/>
                <w:bCs/>
                <w:color w:val="000000"/>
                <w:sz w:val="18"/>
                <w:szCs w:val="18"/>
              </w:rPr>
              <w:t>%</w:t>
            </w:r>
            <w:r>
              <w:rPr>
                <w:rFonts w:cstheme="minorHAnsi"/>
                <w:b/>
                <w:bCs/>
                <w:color w:val="000000"/>
                <w:sz w:val="18"/>
                <w:szCs w:val="18"/>
                <w:lang w:val="en-US"/>
              </w:rPr>
              <w:t xml:space="preserve"> </w:t>
            </w:r>
            <w:r>
              <w:rPr>
                <w:rFonts w:cstheme="minorHAnsi"/>
                <w:b/>
                <w:bCs/>
                <w:color w:val="000000"/>
                <w:sz w:val="18"/>
                <w:szCs w:val="18"/>
              </w:rPr>
              <w:t>Tidak bekerja</w:t>
            </w:r>
          </w:p>
        </w:tc>
        <w:tc>
          <w:tcPr>
            <w:tcW w:w="962" w:type="dxa"/>
            <w:tcBorders>
              <w:top w:val="single" w:sz="4" w:space="0" w:color="auto"/>
              <w:left w:val="nil"/>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3,05</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2,52</w:t>
            </w:r>
          </w:p>
        </w:tc>
        <w:tc>
          <w:tcPr>
            <w:tcW w:w="994"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3,78</w:t>
            </w:r>
          </w:p>
        </w:tc>
        <w:tc>
          <w:tcPr>
            <w:tcW w:w="82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2,42</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3,73</w:t>
            </w:r>
          </w:p>
        </w:tc>
        <w:tc>
          <w:tcPr>
            <w:tcW w:w="82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2,43</w:t>
            </w:r>
          </w:p>
        </w:tc>
      </w:tr>
      <w:tr>
        <w:trPr>
          <w:trHeight w:hRule="exact" w:val="665"/>
        </w:trPr>
        <w:tc>
          <w:tcPr>
            <w:tcW w:w="1203" w:type="dxa"/>
            <w:shd w:val="clear" w:color="auto" w:fill="E5DFEC" w:themeFill="accent4" w:themeFillTint="33"/>
            <w:vAlign w:val="center"/>
            <w:hideMark/>
          </w:tcPr>
          <w:p>
            <w:pPr>
              <w:jc w:val="both"/>
              <w:rPr>
                <w:rFonts w:cstheme="minorHAnsi"/>
                <w:b/>
                <w:bCs/>
                <w:color w:val="000000"/>
                <w:sz w:val="18"/>
                <w:szCs w:val="18"/>
              </w:rPr>
            </w:pPr>
            <w:r>
              <w:rPr>
                <w:rFonts w:cstheme="minorHAnsi"/>
                <w:b/>
                <w:bCs/>
                <w:color w:val="000000"/>
                <w:sz w:val="18"/>
                <w:szCs w:val="18"/>
              </w:rPr>
              <w:t>% Bukan Angkatan Kerja</w:t>
            </w:r>
          </w:p>
        </w:tc>
        <w:tc>
          <w:tcPr>
            <w:tcW w:w="962" w:type="dxa"/>
            <w:tcBorders>
              <w:top w:val="single" w:sz="4" w:space="0" w:color="auto"/>
              <w:left w:val="nil"/>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14,57</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48,47</w:t>
            </w:r>
          </w:p>
        </w:tc>
        <w:tc>
          <w:tcPr>
            <w:tcW w:w="99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15,33</w:t>
            </w:r>
          </w:p>
        </w:tc>
        <w:tc>
          <w:tcPr>
            <w:tcW w:w="8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49,43</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15,30</w:t>
            </w:r>
          </w:p>
        </w:tc>
        <w:tc>
          <w:tcPr>
            <w:tcW w:w="8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48,88</w:t>
            </w:r>
          </w:p>
        </w:tc>
      </w:tr>
      <w:tr>
        <w:trPr>
          <w:trHeight w:hRule="exact" w:val="445"/>
        </w:trPr>
        <w:tc>
          <w:tcPr>
            <w:tcW w:w="1203" w:type="dxa"/>
            <w:shd w:val="clear" w:color="auto" w:fill="EAF1DD" w:themeFill="accent3" w:themeFillTint="33"/>
            <w:vAlign w:val="center"/>
            <w:hideMark/>
          </w:tcPr>
          <w:p>
            <w:pPr>
              <w:jc w:val="both"/>
              <w:rPr>
                <w:rFonts w:cstheme="minorHAnsi"/>
                <w:b/>
                <w:bCs/>
                <w:color w:val="000000"/>
                <w:sz w:val="18"/>
                <w:szCs w:val="18"/>
              </w:rPr>
            </w:pPr>
            <w:r>
              <w:rPr>
                <w:rFonts w:cstheme="minorHAnsi"/>
                <w:b/>
                <w:bCs/>
                <w:color w:val="000000"/>
                <w:sz w:val="18"/>
                <w:szCs w:val="18"/>
              </w:rPr>
              <w:t>% Sekolah</w:t>
            </w:r>
          </w:p>
        </w:tc>
        <w:tc>
          <w:tcPr>
            <w:tcW w:w="962" w:type="dxa"/>
            <w:tcBorders>
              <w:top w:val="single" w:sz="4" w:space="0" w:color="auto"/>
              <w:left w:val="nil"/>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7,38</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8,55</w:t>
            </w:r>
          </w:p>
        </w:tc>
        <w:tc>
          <w:tcPr>
            <w:tcW w:w="994"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6,61</w:t>
            </w:r>
          </w:p>
        </w:tc>
        <w:tc>
          <w:tcPr>
            <w:tcW w:w="82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7,90</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6,09</w:t>
            </w:r>
          </w:p>
        </w:tc>
        <w:tc>
          <w:tcPr>
            <w:tcW w:w="82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6,98</w:t>
            </w:r>
          </w:p>
        </w:tc>
      </w:tr>
      <w:tr>
        <w:trPr>
          <w:trHeight w:hRule="exact" w:val="733"/>
        </w:trPr>
        <w:tc>
          <w:tcPr>
            <w:tcW w:w="1203" w:type="dxa"/>
            <w:shd w:val="clear" w:color="auto" w:fill="E5DFEC" w:themeFill="accent4" w:themeFillTint="33"/>
            <w:vAlign w:val="center"/>
            <w:hideMark/>
          </w:tcPr>
          <w:p>
            <w:pPr>
              <w:jc w:val="both"/>
              <w:rPr>
                <w:rFonts w:cstheme="minorHAnsi"/>
                <w:b/>
                <w:bCs/>
                <w:color w:val="000000"/>
                <w:sz w:val="18"/>
                <w:szCs w:val="18"/>
              </w:rPr>
            </w:pPr>
            <w:r>
              <w:rPr>
                <w:rFonts w:cstheme="minorHAnsi"/>
                <w:b/>
                <w:bCs/>
                <w:color w:val="000000"/>
                <w:sz w:val="18"/>
                <w:szCs w:val="18"/>
              </w:rPr>
              <w:t>% Mengurus Rumah Tangga</w:t>
            </w:r>
          </w:p>
        </w:tc>
        <w:tc>
          <w:tcPr>
            <w:tcW w:w="962" w:type="dxa"/>
            <w:tcBorders>
              <w:top w:val="single" w:sz="4" w:space="0" w:color="auto"/>
              <w:left w:val="nil"/>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3,64</w:t>
            </w:r>
          </w:p>
        </w:tc>
        <w:tc>
          <w:tcPr>
            <w:tcW w:w="7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38,22</w:t>
            </w:r>
          </w:p>
        </w:tc>
        <w:tc>
          <w:tcPr>
            <w:tcW w:w="99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4,19</w:t>
            </w:r>
          </w:p>
        </w:tc>
        <w:tc>
          <w:tcPr>
            <w:tcW w:w="8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39,06</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4,06</w:t>
            </w:r>
          </w:p>
        </w:tc>
        <w:tc>
          <w:tcPr>
            <w:tcW w:w="8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pPr>
              <w:jc w:val="both"/>
              <w:rPr>
                <w:rFonts w:cstheme="minorHAnsi"/>
                <w:color w:val="000000"/>
                <w:sz w:val="18"/>
                <w:szCs w:val="18"/>
              </w:rPr>
            </w:pPr>
            <w:r>
              <w:rPr>
                <w:rFonts w:cstheme="minorHAnsi"/>
                <w:color w:val="000000"/>
                <w:sz w:val="18"/>
                <w:szCs w:val="18"/>
              </w:rPr>
              <w:t>38,52</w:t>
            </w:r>
          </w:p>
        </w:tc>
      </w:tr>
      <w:tr>
        <w:trPr>
          <w:trHeight w:hRule="exact" w:val="445"/>
        </w:trPr>
        <w:tc>
          <w:tcPr>
            <w:tcW w:w="1203" w:type="dxa"/>
            <w:shd w:val="clear" w:color="auto" w:fill="EAF1DD" w:themeFill="accent3" w:themeFillTint="33"/>
            <w:vAlign w:val="center"/>
            <w:hideMark/>
          </w:tcPr>
          <w:p>
            <w:pPr>
              <w:jc w:val="both"/>
              <w:rPr>
                <w:rFonts w:cstheme="minorHAnsi"/>
                <w:b/>
                <w:bCs/>
                <w:color w:val="000000"/>
                <w:sz w:val="18"/>
                <w:szCs w:val="18"/>
              </w:rPr>
            </w:pPr>
            <w:r>
              <w:rPr>
                <w:rFonts w:cstheme="minorHAnsi"/>
                <w:b/>
                <w:bCs/>
                <w:color w:val="000000"/>
                <w:sz w:val="18"/>
                <w:szCs w:val="18"/>
              </w:rPr>
              <w:t>% Lainnya</w:t>
            </w:r>
          </w:p>
        </w:tc>
        <w:tc>
          <w:tcPr>
            <w:tcW w:w="962" w:type="dxa"/>
            <w:tcBorders>
              <w:top w:val="single" w:sz="4" w:space="0" w:color="auto"/>
              <w:left w:val="nil"/>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3,54</w:t>
            </w:r>
          </w:p>
        </w:tc>
        <w:tc>
          <w:tcPr>
            <w:tcW w:w="7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1,70</w:t>
            </w:r>
          </w:p>
        </w:tc>
        <w:tc>
          <w:tcPr>
            <w:tcW w:w="994"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4,52</w:t>
            </w:r>
          </w:p>
        </w:tc>
        <w:tc>
          <w:tcPr>
            <w:tcW w:w="82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2,47</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5,14</w:t>
            </w:r>
          </w:p>
        </w:tc>
        <w:tc>
          <w:tcPr>
            <w:tcW w:w="82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pPr>
              <w:jc w:val="both"/>
              <w:rPr>
                <w:rFonts w:cstheme="minorHAnsi"/>
                <w:color w:val="000000"/>
                <w:sz w:val="18"/>
                <w:szCs w:val="18"/>
              </w:rPr>
            </w:pPr>
            <w:r>
              <w:rPr>
                <w:rFonts w:cstheme="minorHAnsi"/>
                <w:color w:val="000000"/>
                <w:sz w:val="18"/>
                <w:szCs w:val="18"/>
              </w:rPr>
              <w:t>3,39</w:t>
            </w:r>
          </w:p>
        </w:tc>
      </w:tr>
    </w:tbl>
    <w:p>
      <w:pPr>
        <w:pStyle w:val="BodyTextIndent2"/>
        <w:spacing w:line="360" w:lineRule="auto"/>
        <w:ind w:left="0"/>
        <w:jc w:val="both"/>
        <w:rPr>
          <w:rFonts w:asciiTheme="minorHAnsi" w:hAnsiTheme="minorHAnsi"/>
          <w:sz w:val="20"/>
          <w:szCs w:val="20"/>
        </w:rPr>
      </w:pPr>
      <w:r>
        <w:rPr>
          <w:rFonts w:asciiTheme="minorHAnsi" w:hAnsiTheme="minorHAnsi"/>
          <w:i/>
          <w:sz w:val="20"/>
          <w:szCs w:val="20"/>
        </w:rPr>
        <w:t>Sumber: BPS, Sakernas Agustus 2019-2021</w:t>
      </w:r>
    </w:p>
    <w:p>
      <w:pPr>
        <w:pStyle w:val="BodyTextIndent2"/>
        <w:spacing w:after="0" w:line="360" w:lineRule="auto"/>
        <w:ind w:left="284" w:firstLine="567"/>
        <w:jc w:val="both"/>
        <w:rPr>
          <w:rFonts w:asciiTheme="minorHAnsi" w:hAnsiTheme="minorHAnsi"/>
          <w:color w:val="FF0000"/>
          <w:sz w:val="20"/>
          <w:szCs w:val="20"/>
        </w:rPr>
      </w:pPr>
      <w:r>
        <w:rPr>
          <w:rFonts w:asciiTheme="minorHAnsi" w:hAnsiTheme="minorHAnsi"/>
          <w:sz w:val="20"/>
          <w:szCs w:val="20"/>
        </w:rPr>
        <w:lastRenderedPageBreak/>
        <w:t>Tabel 7.1 menggambarkan keterlibatan penduduk Provinsi Kalimantan Tengah dalam ketenagakerjaan selama tiga tahun terakhir. Dilihat dari jenis kelaminnya, dalam tiga tahun terakhir persentase Angkatan kerja berjenis kelamin laki-laki selalu mencapai lebih dari delapan puluh persen dari seluruh penduduk laki-laki yang berusia kerja. Pada Angkatan kerja perempuan, di periode yang sama persentasenya hanya sedikit di atas lima puluh persen, hampir seimbang dengan penduduk perempuan bukan Angkatan kerja. Jika dibandingkan, presentase penduduk bekerja laki-laki juga selalu lebih tinggi dibandingkan penduduk perempuan yang bekerja. Hal ini menunjukkan bahwa masih kentalnya tatanan sosial budaya masyarakat. Sebagai kepala rumah tangga, laki-laki dituntut bekerja sebagai pencari nafkah utama dan fungsi pokok perempuan adalah sebagai isteri atau ibu. Ini tercermin dari besar angkatan kerja laki-laki (84,70 persen) jauh lebih besar dibanding angkatan kerja perempuan (51,12 persen) pada tahun 2021, karena memang sebagian besar penduduk perempuan mempunyai kegiatan utama mengurus rumah tangga yang merupakan pekerjaan domestik.</w:t>
      </w: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Tabel 7.1 juga menunjukkan bahwa selama tahun 2021 perempuan yang mengurus rumah tangga persentasenya masih yang besar yaitu 38,52 persen. Angka ini sangat wajar bila kita kaitkan dengan perilaku sosial bahwa untuk yang mengurus rumah tangga seperti membersihkan rumah, memasak, mencuci, menyeterika adalah perempuan, walaupun sekarang adanya perubahan pandangan dan sikap dalam masyarakat tentang emansipasi perempuan dalam segala kegiatan ekonomi. Makin disadari </w:t>
      </w:r>
      <w:r>
        <w:rPr>
          <w:rFonts w:asciiTheme="minorHAnsi" w:hAnsiTheme="minorHAnsi"/>
          <w:sz w:val="20"/>
          <w:szCs w:val="20"/>
        </w:rPr>
        <w:lastRenderedPageBreak/>
        <w:t xml:space="preserve">perlunya kaum perempuan ikut berpartisipasi dalam memperoleh penghasilan atau keuntungan. </w:t>
      </w:r>
    </w:p>
    <w:p>
      <w:pPr>
        <w:pStyle w:val="BodyTextIndent2"/>
        <w:spacing w:after="0" w:line="360" w:lineRule="auto"/>
        <w:ind w:left="284" w:firstLine="425"/>
        <w:jc w:val="both"/>
        <w:rPr>
          <w:rFonts w:asciiTheme="minorHAnsi" w:hAnsiTheme="minorHAnsi"/>
          <w:sz w:val="20"/>
          <w:szCs w:val="20"/>
        </w:rPr>
      </w:pPr>
      <w:r>
        <w:rPr>
          <w:rFonts w:asciiTheme="minorHAnsi" w:hAnsiTheme="minorHAnsi"/>
          <w:sz w:val="20"/>
          <w:szCs w:val="20"/>
        </w:rPr>
        <w:t xml:space="preserve">Meskipun demikian, dalam kurun waktu tiga tahun terakhir proporsi perempuan yang kegiatan utamanya adalah bekerja mencapai 49,01 persen di tahun 2019, 48,14 persen di tahun 2020 dan 48,69 persen di tahun 2022. Kemudian diikuti peran perempuan dalam mengurus rumah tangga, sekolah dan kegiatan lainnya. </w:t>
      </w:r>
    </w:p>
    <w:p>
      <w:pPr>
        <w:pStyle w:val="BodyTextIndent2"/>
        <w:spacing w:after="0" w:line="360" w:lineRule="auto"/>
        <w:ind w:left="284" w:firstLine="425"/>
        <w:jc w:val="both"/>
        <w:rPr>
          <w:rFonts w:asciiTheme="minorHAnsi" w:hAnsiTheme="minorHAnsi"/>
          <w:sz w:val="20"/>
          <w:szCs w:val="20"/>
        </w:rPr>
      </w:pPr>
    </w:p>
    <w:p>
      <w:pPr>
        <w:pStyle w:val="BodyTextIndent2"/>
        <w:spacing w:after="0" w:line="360" w:lineRule="auto"/>
        <w:ind w:left="284" w:firstLine="425"/>
        <w:jc w:val="both"/>
        <w:rPr>
          <w:rFonts w:asciiTheme="minorHAnsi" w:hAnsiTheme="minorHAnsi"/>
          <w:sz w:val="20"/>
          <w:szCs w:val="20"/>
        </w:rPr>
      </w:pPr>
    </w:p>
    <w:p>
      <w:pPr>
        <w:pStyle w:val="Heading2"/>
        <w:numPr>
          <w:ilvl w:val="0"/>
          <w:numId w:val="0"/>
        </w:numPr>
        <w:tabs>
          <w:tab w:val="left" w:pos="567"/>
        </w:tabs>
        <w:ind w:left="709" w:hanging="425"/>
        <w:jc w:val="both"/>
        <w:rPr>
          <w:rFonts w:asciiTheme="minorHAnsi" w:hAnsiTheme="minorHAnsi" w:cstheme="minorHAnsi"/>
          <w:sz w:val="20"/>
          <w:szCs w:val="20"/>
        </w:rPr>
      </w:pPr>
      <w:bookmarkStart w:id="105" w:name="_Toc118716001"/>
      <w:r>
        <w:rPr>
          <w:rFonts w:asciiTheme="minorHAnsi" w:hAnsiTheme="minorHAnsi" w:cstheme="minorHAnsi"/>
          <w:sz w:val="20"/>
          <w:szCs w:val="20"/>
          <w:lang w:val="en-US"/>
        </w:rPr>
        <w:t>7.2</w:t>
      </w:r>
      <w:r>
        <w:rPr>
          <w:rFonts w:asciiTheme="minorHAnsi" w:hAnsiTheme="minorHAnsi" w:cstheme="minorHAnsi"/>
          <w:sz w:val="20"/>
          <w:szCs w:val="20"/>
          <w:lang w:val="en-US"/>
        </w:rPr>
        <w:tab/>
      </w:r>
      <w:r>
        <w:rPr>
          <w:rFonts w:asciiTheme="minorHAnsi" w:hAnsiTheme="minorHAnsi" w:cstheme="minorHAnsi"/>
          <w:sz w:val="20"/>
          <w:szCs w:val="20"/>
          <w:lang w:val="en-US"/>
        </w:rPr>
        <w:tab/>
      </w:r>
      <w:r>
        <w:rPr>
          <w:rFonts w:asciiTheme="minorHAnsi" w:hAnsiTheme="minorHAnsi" w:cstheme="minorHAnsi"/>
          <w:sz w:val="20"/>
          <w:szCs w:val="20"/>
        </w:rPr>
        <w:t>Tingkat Partisipasi Angkatan Kerja (TPAK)</w:t>
      </w:r>
      <w:bookmarkEnd w:id="105"/>
    </w:p>
    <w:p>
      <w:pPr>
        <w:spacing w:after="0" w:line="360" w:lineRule="auto"/>
        <w:ind w:left="284" w:firstLine="567"/>
        <w:jc w:val="both"/>
        <w:rPr>
          <w:sz w:val="20"/>
          <w:szCs w:val="20"/>
        </w:rPr>
      </w:pPr>
      <w:r>
        <w:rPr>
          <w:sz w:val="20"/>
          <w:szCs w:val="20"/>
        </w:rPr>
        <w:t>Tingkat Partisipasi Angkatan Kerja (TPAK) merupakan perbandingan banyaknya angkatan kerja dibandingkan dengan total penduduk usia kerja. TPAK merupakan salah satu jenis indikator pokok untuk melihat besarnya partisipasi penduduk di bidang ketenagakerjaan yang sering dipakai untuk menggambarkan fluktuasi yang terjadi selain indikator pengangguran tentunya. Dari tabel 7.2 terlihat bahwa TPAK secara umum di Provinsi Kalimantan Tengah Tahun 2020-2021 baik laki-laki maupun perempuan cenderung meningkat, meskipun di beberapa kabupaten mengalami penurunan.</w:t>
      </w:r>
    </w:p>
    <w:p>
      <w:pPr>
        <w:spacing w:after="0" w:line="360" w:lineRule="auto"/>
        <w:ind w:left="284" w:firstLine="567"/>
        <w:jc w:val="both"/>
        <w:rPr>
          <w:sz w:val="20"/>
          <w:szCs w:val="20"/>
        </w:rPr>
      </w:pPr>
      <w:r>
        <w:rPr>
          <w:sz w:val="20"/>
          <w:szCs w:val="20"/>
        </w:rPr>
        <w:t xml:space="preserve">Berdasarkan Hasil Sakernas Agustus 2021, TPAK total Provinsi Kalimantan Tengah tercatat sebesar 68,67 persen. Ini berarti dari 100 penduduk usia kerja, sekitar 68 sampai 69 orang merupakan  angkatan kerja aktif secara ekonomi.  Tabel 7.2  juga menunjukkan bahwa di tahun 2021 TPAK laki-laki jauh lebih besar dibanding TPAK perempuan, masing-masing tercatat sebesar 84,70 persen dan 51,12 persen. Kondisi  ini sesuai dengan </w:t>
      </w:r>
      <w:r>
        <w:rPr>
          <w:sz w:val="20"/>
          <w:szCs w:val="20"/>
        </w:rPr>
        <w:lastRenderedPageBreak/>
        <w:t>pendapat Durand (1975:22), bahwa umumnya pola partisipasi angkatan kerja laki-laki universal baik di negara berkembang maupun maju. Maksudnya adalah wajar bila laki laki sebagai kepala rumah tangga dituntut bertanggung jawab untuk bekerja sebagai  pencari nafkah utama.</w:t>
      </w:r>
    </w:p>
    <w:p>
      <w:pPr>
        <w:spacing w:line="360" w:lineRule="auto"/>
        <w:ind w:left="284" w:firstLine="567"/>
        <w:jc w:val="both"/>
        <w:rPr>
          <w:b/>
          <w:bCs/>
          <w:sz w:val="20"/>
          <w:szCs w:val="20"/>
        </w:rPr>
      </w:pPr>
      <w:r>
        <w:rPr>
          <w:sz w:val="20"/>
          <w:szCs w:val="20"/>
        </w:rPr>
        <w:t>Dilihat dari perkembangannya, hampir separuh dari seluruh kabupaten/kota se-Kalimantan Tengah mengalami penurunan TPAK perempuan di tahun 2021. Hal ini berkaitan dengan adanya pandemo Covid-19 di dua tahun terakhir yang mengakibatkan perubahan kondisi ketenagakerjaan penduduk. Kabupaten Barito Selatan dan Kabupaten Barito Utara merupakan dua wilayah dengan penurunan TPAK perempuan terbesar, masing-masing mencapai 4 persen poin dan 3,82 persen poin. Di sisi lain, wilayah dengan TPAK perempuan tertinggi Tahun 2021 adalah Kabupaten Barito Timur yang mencapai 71,18 persen. Sebaliknya, wilayah dengan TPAK perempuan terrendah di tahun 2021 adalah Kabupaten Katingan, yaitu sebesar 42,25 persen.</w:t>
      </w:r>
      <w:r>
        <w:rPr>
          <w:color w:val="FF0000"/>
          <w:sz w:val="20"/>
          <w:szCs w:val="20"/>
        </w:rPr>
        <w:t xml:space="preserve"> </w:t>
      </w:r>
      <w:r>
        <w:rPr>
          <w:sz w:val="20"/>
          <w:szCs w:val="20"/>
        </w:rPr>
        <w:t>Untuk penduduk laki-laki, tingkat partisipasi angkatan kerja di seluruh kabupaten/kota di Kalimantan Tengah cukup baik, sebagian besar sudah lebih 80 persen, kecuali di Kota Palangka Raya yang TPAK laki-laki hanya sebesar 76,30 persen. TPAK laki-laki tertinggi di Kabupaten Lamandau yang mencapai 88,06 persen.</w:t>
      </w:r>
      <w:r>
        <w:rPr>
          <w:b/>
          <w:bCs/>
          <w:sz w:val="20"/>
          <w:szCs w:val="20"/>
        </w:rPr>
        <w:t xml:space="preserve"> </w:t>
      </w:r>
    </w:p>
    <w:p>
      <w:pPr>
        <w:spacing w:line="360" w:lineRule="auto"/>
        <w:ind w:firstLine="720"/>
        <w:jc w:val="both"/>
        <w:rPr>
          <w:b/>
          <w:bCs/>
        </w:rPr>
      </w:pPr>
    </w:p>
    <w:p>
      <w:pPr>
        <w:spacing w:line="360" w:lineRule="auto"/>
        <w:ind w:firstLine="720"/>
        <w:jc w:val="both"/>
        <w:rPr>
          <w:b/>
          <w:bCs/>
        </w:rPr>
      </w:pPr>
    </w:p>
    <w:p>
      <w:pPr>
        <w:spacing w:line="360" w:lineRule="auto"/>
        <w:ind w:firstLine="720"/>
        <w:jc w:val="both"/>
        <w:rPr>
          <w:b/>
          <w:bCs/>
        </w:rPr>
      </w:pPr>
    </w:p>
    <w:p>
      <w:pPr>
        <w:spacing w:line="360" w:lineRule="auto"/>
        <w:ind w:firstLine="720"/>
        <w:jc w:val="both"/>
        <w:rPr>
          <w:b/>
          <w:bCs/>
        </w:rPr>
      </w:pPr>
    </w:p>
    <w:p>
      <w:pPr>
        <w:spacing w:line="360" w:lineRule="auto"/>
        <w:ind w:firstLine="720"/>
        <w:jc w:val="both"/>
        <w:rPr>
          <w:b/>
          <w:bCs/>
        </w:rPr>
      </w:pPr>
    </w:p>
    <w:p>
      <w:pPr>
        <w:spacing w:line="360" w:lineRule="auto"/>
        <w:ind w:firstLine="720"/>
        <w:jc w:val="both"/>
        <w:rPr>
          <w:b/>
          <w:bCs/>
        </w:rPr>
      </w:pPr>
    </w:p>
    <w:p>
      <w:pPr>
        <w:spacing w:line="360" w:lineRule="auto"/>
        <w:ind w:firstLine="720"/>
        <w:jc w:val="both"/>
        <w:rPr>
          <w:b/>
          <w:bCs/>
        </w:rPr>
      </w:pPr>
    </w:p>
    <w:p>
      <w:pPr>
        <w:spacing w:line="360" w:lineRule="auto"/>
        <w:jc w:val="both"/>
        <w:rPr>
          <w:b/>
          <w:bCs/>
        </w:rPr>
      </w:pPr>
    </w:p>
    <w:p>
      <w:pPr>
        <w:pStyle w:val="Caption"/>
        <w:ind w:left="1418" w:hanging="1134"/>
        <w:jc w:val="both"/>
        <w:rPr>
          <w:b/>
          <w:bCs/>
          <w:i w:val="0"/>
          <w:iCs w:val="0"/>
          <w:color w:val="auto"/>
          <w:sz w:val="20"/>
          <w:szCs w:val="20"/>
        </w:rPr>
      </w:pPr>
      <w:bookmarkStart w:id="106" w:name="_Toc117519548"/>
      <w:r>
        <w:rPr>
          <w:b/>
          <w:bCs/>
          <w:i w:val="0"/>
          <w:iCs w:val="0"/>
          <w:color w:val="auto"/>
          <w:sz w:val="20"/>
          <w:szCs w:val="20"/>
        </w:rPr>
        <w:t xml:space="preserve">Tabel 7. </w:t>
      </w:r>
      <w:r>
        <w:rPr>
          <w:b/>
          <w:bCs/>
          <w:i w:val="0"/>
          <w:iCs w:val="0"/>
          <w:color w:val="auto"/>
          <w:sz w:val="20"/>
          <w:szCs w:val="20"/>
        </w:rPr>
        <w:fldChar w:fldCharType="begin"/>
      </w:r>
      <w:r>
        <w:rPr>
          <w:b/>
          <w:bCs/>
          <w:i w:val="0"/>
          <w:iCs w:val="0"/>
          <w:color w:val="auto"/>
          <w:sz w:val="20"/>
          <w:szCs w:val="20"/>
        </w:rPr>
        <w:instrText xml:space="preserve"> SEQ Tabel_7. \* ARABIC </w:instrText>
      </w:r>
      <w:r>
        <w:rPr>
          <w:b/>
          <w:bCs/>
          <w:i w:val="0"/>
          <w:iCs w:val="0"/>
          <w:color w:val="auto"/>
          <w:sz w:val="20"/>
          <w:szCs w:val="20"/>
        </w:rPr>
        <w:fldChar w:fldCharType="separate"/>
      </w:r>
      <w:r>
        <w:rPr>
          <w:b/>
          <w:bCs/>
          <w:i w:val="0"/>
          <w:iCs w:val="0"/>
          <w:noProof/>
          <w:color w:val="auto"/>
          <w:sz w:val="20"/>
          <w:szCs w:val="20"/>
        </w:rPr>
        <w:t>2</w:t>
      </w:r>
      <w:r>
        <w:rPr>
          <w:b/>
          <w:bCs/>
          <w:i w:val="0"/>
          <w:iCs w:val="0"/>
          <w:color w:val="auto"/>
          <w:sz w:val="20"/>
          <w:szCs w:val="20"/>
        </w:rPr>
        <w:fldChar w:fldCharType="end"/>
      </w:r>
      <w:r>
        <w:rPr>
          <w:b/>
          <w:bCs/>
          <w:i w:val="0"/>
          <w:iCs w:val="0"/>
          <w:color w:val="auto"/>
          <w:sz w:val="20"/>
          <w:szCs w:val="20"/>
        </w:rPr>
        <w:tab/>
        <w:t>Tingkat Partisipasi Angkatan Kerja (TPAK) Menurut Jenis Kelamin dan Kabupaten/Kota, 2020-2021</w:t>
      </w:r>
      <w:bookmarkEnd w:id="106"/>
      <w:r>
        <w:rPr>
          <w:rFonts w:cstheme="minorHAnsi"/>
          <w:b/>
          <w:bCs/>
          <w:sz w:val="20"/>
          <w:szCs w:val="20"/>
        </w:rPr>
        <w:tab/>
      </w:r>
    </w:p>
    <w:tbl>
      <w:tblPr>
        <w:tblStyle w:val="TableGrid"/>
        <w:tblpPr w:leftFromText="180" w:rightFromText="180" w:vertAnchor="text" w:tblpX="108" w:tblpY="1"/>
        <w:tblW w:w="6080" w:type="dxa"/>
        <w:tblLayout w:type="fixed"/>
        <w:tblLook w:val="04A0" w:firstRow="1" w:lastRow="0" w:firstColumn="1" w:lastColumn="0" w:noHBand="0" w:noVBand="1"/>
      </w:tblPr>
      <w:tblGrid>
        <w:gridCol w:w="1870"/>
        <w:gridCol w:w="1086"/>
        <w:gridCol w:w="1087"/>
        <w:gridCol w:w="1086"/>
        <w:gridCol w:w="951"/>
      </w:tblGrid>
      <w:tr>
        <w:trPr>
          <w:trHeight w:val="417"/>
        </w:trPr>
        <w:tc>
          <w:tcPr>
            <w:tcW w:w="1870"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tcPr>
          <w:p>
            <w:pPr>
              <w:jc w:val="center"/>
              <w:rPr>
                <w:bCs/>
                <w:sz w:val="18"/>
                <w:szCs w:val="18"/>
              </w:rPr>
            </w:pPr>
            <w:r>
              <w:rPr>
                <w:bCs/>
                <w:sz w:val="18"/>
                <w:szCs w:val="18"/>
              </w:rPr>
              <w:t>Kabupaten/Kota</w:t>
            </w:r>
          </w:p>
        </w:tc>
        <w:tc>
          <w:tcPr>
            <w:tcW w:w="2173"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tcPr>
          <w:p>
            <w:pPr>
              <w:jc w:val="center"/>
              <w:rPr>
                <w:bCs/>
                <w:sz w:val="18"/>
                <w:szCs w:val="18"/>
              </w:rPr>
            </w:pPr>
            <w:r>
              <w:rPr>
                <w:bCs/>
                <w:sz w:val="18"/>
                <w:szCs w:val="18"/>
              </w:rPr>
              <w:t>Laki-laki</w:t>
            </w:r>
          </w:p>
        </w:tc>
        <w:tc>
          <w:tcPr>
            <w:tcW w:w="203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tcPr>
          <w:p>
            <w:pPr>
              <w:jc w:val="center"/>
              <w:rPr>
                <w:bCs/>
                <w:sz w:val="18"/>
                <w:szCs w:val="18"/>
              </w:rPr>
            </w:pPr>
            <w:r>
              <w:rPr>
                <w:bCs/>
                <w:sz w:val="18"/>
                <w:szCs w:val="18"/>
              </w:rPr>
              <w:t>Perempuan</w:t>
            </w:r>
          </w:p>
        </w:tc>
      </w:tr>
      <w:tr>
        <w:trPr>
          <w:trHeight w:val="417"/>
        </w:trPr>
        <w:tc>
          <w:tcPr>
            <w:tcW w:w="1870"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p>
        </w:tc>
        <w:tc>
          <w:tcPr>
            <w:tcW w:w="10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2020</w:t>
            </w:r>
          </w:p>
        </w:tc>
        <w:tc>
          <w:tcPr>
            <w:tcW w:w="108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2021</w:t>
            </w:r>
          </w:p>
        </w:tc>
        <w:tc>
          <w:tcPr>
            <w:tcW w:w="10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2020</w:t>
            </w:r>
          </w:p>
        </w:tc>
        <w:tc>
          <w:tcPr>
            <w:tcW w:w="9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2021</w:t>
            </w:r>
          </w:p>
        </w:tc>
      </w:tr>
      <w:tr>
        <w:trPr>
          <w:trHeight w:val="237"/>
        </w:trPr>
        <w:tc>
          <w:tcPr>
            <w:tcW w:w="187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(1)</w:t>
            </w:r>
          </w:p>
        </w:tc>
        <w:tc>
          <w:tcPr>
            <w:tcW w:w="10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(2)</w:t>
            </w:r>
          </w:p>
        </w:tc>
        <w:tc>
          <w:tcPr>
            <w:tcW w:w="108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(3)</w:t>
            </w:r>
          </w:p>
        </w:tc>
        <w:tc>
          <w:tcPr>
            <w:tcW w:w="10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(5)</w:t>
            </w:r>
          </w:p>
        </w:tc>
        <w:tc>
          <w:tcPr>
            <w:tcW w:w="9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bCs/>
                <w:sz w:val="18"/>
                <w:szCs w:val="18"/>
              </w:rPr>
            </w:pPr>
            <w:r>
              <w:rPr>
                <w:bCs/>
                <w:sz w:val="18"/>
                <w:szCs w:val="18"/>
              </w:rPr>
              <w:t>(6)</w:t>
            </w:r>
          </w:p>
        </w:tc>
      </w:tr>
      <w:tr>
        <w:trPr>
          <w:trHeight w:val="357"/>
        </w:trPr>
        <w:tc>
          <w:tcPr>
            <w:tcW w:w="1870" w:type="dxa"/>
            <w:tcBorders>
              <w:top w:val="single" w:sz="4" w:space="0" w:color="F2F2F2" w:themeColor="background1" w:themeShade="F2"/>
            </w:tcBorders>
            <w:shd w:val="clear" w:color="auto" w:fill="E5DFEC" w:themeFill="accent4" w:themeFillTint="33"/>
            <w:hideMark/>
          </w:tcPr>
          <w:p>
            <w:pPr>
              <w:spacing w:before="40" w:after="40" w:line="269" w:lineRule="auto"/>
              <w:jc w:val="both"/>
              <w:rPr>
                <w:color w:val="000000"/>
                <w:sz w:val="18"/>
                <w:szCs w:val="18"/>
              </w:rPr>
            </w:pPr>
            <w:r>
              <w:rPr>
                <w:color w:val="000000"/>
                <w:sz w:val="18"/>
                <w:szCs w:val="18"/>
              </w:rPr>
              <w:t>Kotawaringin Barat</w:t>
            </w:r>
          </w:p>
        </w:tc>
        <w:tc>
          <w:tcPr>
            <w:tcW w:w="1086" w:type="dxa"/>
            <w:tcBorders>
              <w:top w:val="single" w:sz="4" w:space="0" w:color="F2F2F2" w:themeColor="background1" w:themeShade="F2"/>
            </w:tcBorders>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89,48</w:t>
            </w:r>
          </w:p>
        </w:tc>
        <w:tc>
          <w:tcPr>
            <w:tcW w:w="1087" w:type="dxa"/>
            <w:tcBorders>
              <w:top w:val="single" w:sz="4" w:space="0" w:color="F2F2F2" w:themeColor="background1" w:themeShade="F2"/>
            </w:tcBorders>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86,46</w:t>
            </w:r>
          </w:p>
        </w:tc>
        <w:tc>
          <w:tcPr>
            <w:tcW w:w="1086" w:type="dxa"/>
            <w:tcBorders>
              <w:top w:val="single" w:sz="4" w:space="0" w:color="F2F2F2" w:themeColor="background1" w:themeShade="F2"/>
            </w:tcBorders>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54,41</w:t>
            </w:r>
          </w:p>
        </w:tc>
        <w:tc>
          <w:tcPr>
            <w:tcW w:w="951" w:type="dxa"/>
            <w:tcBorders>
              <w:top w:val="single" w:sz="4" w:space="0" w:color="F2F2F2" w:themeColor="background1" w:themeShade="F2"/>
            </w:tcBorders>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51,39</w:t>
            </w:r>
          </w:p>
        </w:tc>
      </w:tr>
      <w:tr>
        <w:trPr>
          <w:trHeight w:val="357"/>
        </w:trPr>
        <w:tc>
          <w:tcPr>
            <w:tcW w:w="1870" w:type="dxa"/>
            <w:shd w:val="clear" w:color="auto" w:fill="EAF1DD" w:themeFill="accent3" w:themeFillTint="33"/>
            <w:hideMark/>
          </w:tcPr>
          <w:p>
            <w:pPr>
              <w:spacing w:before="40" w:after="40" w:line="269" w:lineRule="auto"/>
              <w:jc w:val="both"/>
              <w:rPr>
                <w:color w:val="000000"/>
                <w:sz w:val="18"/>
                <w:szCs w:val="18"/>
              </w:rPr>
            </w:pPr>
            <w:r>
              <w:rPr>
                <w:color w:val="000000"/>
                <w:sz w:val="18"/>
                <w:szCs w:val="18"/>
              </w:rPr>
              <w:t>Kotawaringin Timur</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86,04</w:t>
            </w:r>
          </w:p>
        </w:tc>
        <w:tc>
          <w:tcPr>
            <w:tcW w:w="1087"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84,42</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46,47</w:t>
            </w:r>
          </w:p>
        </w:tc>
        <w:tc>
          <w:tcPr>
            <w:tcW w:w="951"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46,59</w:t>
            </w:r>
          </w:p>
        </w:tc>
      </w:tr>
      <w:tr>
        <w:trPr>
          <w:trHeight w:val="357"/>
        </w:trPr>
        <w:tc>
          <w:tcPr>
            <w:tcW w:w="1870" w:type="dxa"/>
            <w:shd w:val="clear" w:color="auto" w:fill="E5DFEC" w:themeFill="accent4" w:themeFillTint="33"/>
            <w:hideMark/>
          </w:tcPr>
          <w:p>
            <w:pPr>
              <w:spacing w:before="40" w:after="40" w:line="269" w:lineRule="auto"/>
              <w:jc w:val="both"/>
              <w:rPr>
                <w:color w:val="000000"/>
                <w:sz w:val="18"/>
                <w:szCs w:val="18"/>
              </w:rPr>
            </w:pPr>
            <w:r>
              <w:rPr>
                <w:color w:val="000000"/>
                <w:sz w:val="18"/>
                <w:szCs w:val="18"/>
              </w:rPr>
              <w:t>Kapuas</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85,79</w:t>
            </w:r>
          </w:p>
        </w:tc>
        <w:tc>
          <w:tcPr>
            <w:tcW w:w="1087"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85,89</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53,67</w:t>
            </w:r>
          </w:p>
        </w:tc>
        <w:tc>
          <w:tcPr>
            <w:tcW w:w="951"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53,98</w:t>
            </w:r>
          </w:p>
        </w:tc>
      </w:tr>
      <w:tr>
        <w:trPr>
          <w:trHeight w:val="357"/>
        </w:trPr>
        <w:tc>
          <w:tcPr>
            <w:tcW w:w="1870" w:type="dxa"/>
            <w:shd w:val="clear" w:color="auto" w:fill="EAF1DD" w:themeFill="accent3" w:themeFillTint="33"/>
            <w:hideMark/>
          </w:tcPr>
          <w:p>
            <w:pPr>
              <w:spacing w:before="40" w:after="40" w:line="269" w:lineRule="auto"/>
              <w:jc w:val="both"/>
              <w:rPr>
                <w:color w:val="000000"/>
                <w:sz w:val="18"/>
                <w:szCs w:val="18"/>
              </w:rPr>
            </w:pPr>
            <w:r>
              <w:rPr>
                <w:color w:val="000000"/>
                <w:sz w:val="18"/>
                <w:szCs w:val="18"/>
              </w:rPr>
              <w:t>Barito Selatan</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81,61</w:t>
            </w:r>
          </w:p>
        </w:tc>
        <w:tc>
          <w:tcPr>
            <w:tcW w:w="1087"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83,13</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47,09</w:t>
            </w:r>
          </w:p>
        </w:tc>
        <w:tc>
          <w:tcPr>
            <w:tcW w:w="951"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43,10</w:t>
            </w:r>
          </w:p>
        </w:tc>
      </w:tr>
      <w:tr>
        <w:trPr>
          <w:trHeight w:val="357"/>
        </w:trPr>
        <w:tc>
          <w:tcPr>
            <w:tcW w:w="1870" w:type="dxa"/>
            <w:shd w:val="clear" w:color="auto" w:fill="E5DFEC" w:themeFill="accent4" w:themeFillTint="33"/>
            <w:hideMark/>
          </w:tcPr>
          <w:p>
            <w:pPr>
              <w:spacing w:before="40" w:after="40" w:line="269" w:lineRule="auto"/>
              <w:jc w:val="both"/>
              <w:rPr>
                <w:color w:val="000000"/>
                <w:sz w:val="18"/>
                <w:szCs w:val="18"/>
              </w:rPr>
            </w:pPr>
            <w:r>
              <w:rPr>
                <w:color w:val="000000"/>
                <w:sz w:val="18"/>
                <w:szCs w:val="18"/>
              </w:rPr>
              <w:t>Barito Utara</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84,89</w:t>
            </w:r>
          </w:p>
        </w:tc>
        <w:tc>
          <w:tcPr>
            <w:tcW w:w="1087"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86,35</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56,97</w:t>
            </w:r>
          </w:p>
        </w:tc>
        <w:tc>
          <w:tcPr>
            <w:tcW w:w="951"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53,15</w:t>
            </w:r>
          </w:p>
        </w:tc>
      </w:tr>
      <w:tr>
        <w:trPr>
          <w:trHeight w:val="357"/>
        </w:trPr>
        <w:tc>
          <w:tcPr>
            <w:tcW w:w="1870" w:type="dxa"/>
            <w:shd w:val="clear" w:color="auto" w:fill="EAF1DD" w:themeFill="accent3" w:themeFillTint="33"/>
            <w:hideMark/>
          </w:tcPr>
          <w:p>
            <w:pPr>
              <w:spacing w:before="40" w:after="40" w:line="269" w:lineRule="auto"/>
              <w:jc w:val="both"/>
              <w:rPr>
                <w:color w:val="000000"/>
                <w:sz w:val="18"/>
                <w:szCs w:val="18"/>
              </w:rPr>
            </w:pPr>
            <w:r>
              <w:rPr>
                <w:color w:val="000000"/>
                <w:sz w:val="18"/>
                <w:szCs w:val="18"/>
              </w:rPr>
              <w:t>Sukamara</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82,67</w:t>
            </w:r>
          </w:p>
        </w:tc>
        <w:tc>
          <w:tcPr>
            <w:tcW w:w="1087"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85,04</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45,70</w:t>
            </w:r>
          </w:p>
        </w:tc>
        <w:tc>
          <w:tcPr>
            <w:tcW w:w="951"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56,69</w:t>
            </w:r>
          </w:p>
        </w:tc>
      </w:tr>
      <w:tr>
        <w:trPr>
          <w:trHeight w:val="357"/>
        </w:trPr>
        <w:tc>
          <w:tcPr>
            <w:tcW w:w="1870" w:type="dxa"/>
            <w:shd w:val="clear" w:color="auto" w:fill="E5DFEC" w:themeFill="accent4" w:themeFillTint="33"/>
            <w:hideMark/>
          </w:tcPr>
          <w:p>
            <w:pPr>
              <w:spacing w:before="40" w:after="40" w:line="269" w:lineRule="auto"/>
              <w:jc w:val="both"/>
              <w:rPr>
                <w:color w:val="000000"/>
                <w:sz w:val="18"/>
                <w:szCs w:val="18"/>
              </w:rPr>
            </w:pPr>
            <w:r>
              <w:rPr>
                <w:color w:val="000000"/>
                <w:sz w:val="18"/>
                <w:szCs w:val="18"/>
              </w:rPr>
              <w:t>Lamandau</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87,43</w:t>
            </w:r>
          </w:p>
        </w:tc>
        <w:tc>
          <w:tcPr>
            <w:tcW w:w="1087"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88,06</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50,82</w:t>
            </w:r>
          </w:p>
        </w:tc>
        <w:tc>
          <w:tcPr>
            <w:tcW w:w="951"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50,05</w:t>
            </w:r>
          </w:p>
        </w:tc>
      </w:tr>
      <w:tr>
        <w:trPr>
          <w:trHeight w:val="357"/>
        </w:trPr>
        <w:tc>
          <w:tcPr>
            <w:tcW w:w="1870" w:type="dxa"/>
            <w:shd w:val="clear" w:color="auto" w:fill="EAF1DD" w:themeFill="accent3" w:themeFillTint="33"/>
            <w:hideMark/>
          </w:tcPr>
          <w:p>
            <w:pPr>
              <w:spacing w:before="40" w:after="40" w:line="269" w:lineRule="auto"/>
              <w:jc w:val="both"/>
              <w:rPr>
                <w:color w:val="000000"/>
                <w:sz w:val="18"/>
                <w:szCs w:val="18"/>
              </w:rPr>
            </w:pPr>
            <w:r>
              <w:rPr>
                <w:color w:val="000000"/>
                <w:sz w:val="18"/>
                <w:szCs w:val="18"/>
              </w:rPr>
              <w:t>Seruyan</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80,44</w:t>
            </w:r>
          </w:p>
        </w:tc>
        <w:tc>
          <w:tcPr>
            <w:tcW w:w="1087"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87,48</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46,90</w:t>
            </w:r>
          </w:p>
        </w:tc>
        <w:tc>
          <w:tcPr>
            <w:tcW w:w="951"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52,66</w:t>
            </w:r>
          </w:p>
        </w:tc>
      </w:tr>
      <w:tr>
        <w:trPr>
          <w:trHeight w:val="357"/>
        </w:trPr>
        <w:tc>
          <w:tcPr>
            <w:tcW w:w="1870" w:type="dxa"/>
            <w:shd w:val="clear" w:color="auto" w:fill="E5DFEC" w:themeFill="accent4" w:themeFillTint="33"/>
            <w:hideMark/>
          </w:tcPr>
          <w:p>
            <w:pPr>
              <w:spacing w:before="40" w:after="40" w:line="269" w:lineRule="auto"/>
              <w:jc w:val="both"/>
              <w:rPr>
                <w:color w:val="000000"/>
                <w:sz w:val="18"/>
                <w:szCs w:val="18"/>
              </w:rPr>
            </w:pPr>
            <w:r>
              <w:rPr>
                <w:color w:val="000000"/>
                <w:sz w:val="18"/>
                <w:szCs w:val="18"/>
              </w:rPr>
              <w:t>Katingan</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83,15</w:t>
            </w:r>
          </w:p>
        </w:tc>
        <w:tc>
          <w:tcPr>
            <w:tcW w:w="1087"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84,11</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43,65</w:t>
            </w:r>
          </w:p>
        </w:tc>
        <w:tc>
          <w:tcPr>
            <w:tcW w:w="951"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42,25</w:t>
            </w:r>
          </w:p>
        </w:tc>
      </w:tr>
      <w:tr>
        <w:trPr>
          <w:trHeight w:val="357"/>
        </w:trPr>
        <w:tc>
          <w:tcPr>
            <w:tcW w:w="1870" w:type="dxa"/>
            <w:shd w:val="clear" w:color="auto" w:fill="EAF1DD" w:themeFill="accent3" w:themeFillTint="33"/>
            <w:hideMark/>
          </w:tcPr>
          <w:p>
            <w:pPr>
              <w:spacing w:before="40" w:after="40" w:line="269" w:lineRule="auto"/>
              <w:jc w:val="both"/>
              <w:rPr>
                <w:color w:val="000000"/>
                <w:sz w:val="18"/>
                <w:szCs w:val="18"/>
              </w:rPr>
            </w:pPr>
            <w:r>
              <w:rPr>
                <w:color w:val="000000"/>
                <w:sz w:val="18"/>
                <w:szCs w:val="18"/>
              </w:rPr>
              <w:t>Pulang Pisau</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88,21</w:t>
            </w:r>
          </w:p>
        </w:tc>
        <w:tc>
          <w:tcPr>
            <w:tcW w:w="1087"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87,72</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55,99</w:t>
            </w:r>
          </w:p>
        </w:tc>
        <w:tc>
          <w:tcPr>
            <w:tcW w:w="951"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57,81</w:t>
            </w:r>
          </w:p>
        </w:tc>
      </w:tr>
      <w:tr>
        <w:trPr>
          <w:trHeight w:val="357"/>
        </w:trPr>
        <w:tc>
          <w:tcPr>
            <w:tcW w:w="1870" w:type="dxa"/>
            <w:shd w:val="clear" w:color="auto" w:fill="E5DFEC" w:themeFill="accent4" w:themeFillTint="33"/>
            <w:hideMark/>
          </w:tcPr>
          <w:p>
            <w:pPr>
              <w:spacing w:before="40" w:after="40" w:line="269" w:lineRule="auto"/>
              <w:jc w:val="both"/>
              <w:rPr>
                <w:color w:val="000000"/>
                <w:sz w:val="18"/>
                <w:szCs w:val="18"/>
              </w:rPr>
            </w:pPr>
            <w:r>
              <w:rPr>
                <w:color w:val="000000"/>
                <w:sz w:val="18"/>
                <w:szCs w:val="18"/>
              </w:rPr>
              <w:t>Gunung Mas</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88,10</w:t>
            </w:r>
          </w:p>
        </w:tc>
        <w:tc>
          <w:tcPr>
            <w:tcW w:w="1087"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85,77</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51,96</w:t>
            </w:r>
          </w:p>
        </w:tc>
        <w:tc>
          <w:tcPr>
            <w:tcW w:w="951"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51,41</w:t>
            </w:r>
          </w:p>
        </w:tc>
      </w:tr>
      <w:tr>
        <w:trPr>
          <w:trHeight w:val="357"/>
        </w:trPr>
        <w:tc>
          <w:tcPr>
            <w:tcW w:w="1870" w:type="dxa"/>
            <w:shd w:val="clear" w:color="auto" w:fill="EAF1DD" w:themeFill="accent3" w:themeFillTint="33"/>
            <w:hideMark/>
          </w:tcPr>
          <w:p>
            <w:pPr>
              <w:spacing w:before="40" w:after="40" w:line="269" w:lineRule="auto"/>
              <w:jc w:val="both"/>
              <w:rPr>
                <w:color w:val="000000"/>
                <w:sz w:val="18"/>
                <w:szCs w:val="18"/>
              </w:rPr>
            </w:pPr>
            <w:r>
              <w:rPr>
                <w:color w:val="000000"/>
                <w:sz w:val="18"/>
                <w:szCs w:val="18"/>
              </w:rPr>
              <w:lastRenderedPageBreak/>
              <w:t>Barito Timur</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84,82</w:t>
            </w:r>
          </w:p>
        </w:tc>
        <w:tc>
          <w:tcPr>
            <w:tcW w:w="1087"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85,36</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70,29</w:t>
            </w:r>
          </w:p>
        </w:tc>
        <w:tc>
          <w:tcPr>
            <w:tcW w:w="951"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71,18</w:t>
            </w:r>
          </w:p>
        </w:tc>
      </w:tr>
      <w:tr>
        <w:trPr>
          <w:trHeight w:val="357"/>
        </w:trPr>
        <w:tc>
          <w:tcPr>
            <w:tcW w:w="1870" w:type="dxa"/>
            <w:shd w:val="clear" w:color="auto" w:fill="E5DFEC" w:themeFill="accent4" w:themeFillTint="33"/>
            <w:hideMark/>
          </w:tcPr>
          <w:p>
            <w:pPr>
              <w:spacing w:before="40" w:after="40" w:line="269" w:lineRule="auto"/>
              <w:jc w:val="both"/>
              <w:rPr>
                <w:color w:val="000000"/>
                <w:sz w:val="18"/>
                <w:szCs w:val="18"/>
              </w:rPr>
            </w:pPr>
            <w:r>
              <w:rPr>
                <w:color w:val="000000"/>
                <w:sz w:val="18"/>
                <w:szCs w:val="18"/>
              </w:rPr>
              <w:t>Murung Raya</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84,13</w:t>
            </w:r>
          </w:p>
        </w:tc>
        <w:tc>
          <w:tcPr>
            <w:tcW w:w="1087"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86,37</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41,90</w:t>
            </w:r>
          </w:p>
        </w:tc>
        <w:tc>
          <w:tcPr>
            <w:tcW w:w="951"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47,14</w:t>
            </w:r>
          </w:p>
        </w:tc>
      </w:tr>
      <w:tr>
        <w:trPr>
          <w:trHeight w:val="405"/>
        </w:trPr>
        <w:tc>
          <w:tcPr>
            <w:tcW w:w="1870" w:type="dxa"/>
            <w:shd w:val="clear" w:color="auto" w:fill="EAF1DD" w:themeFill="accent3" w:themeFillTint="33"/>
            <w:hideMark/>
          </w:tcPr>
          <w:p>
            <w:pPr>
              <w:spacing w:before="40" w:after="40" w:line="269" w:lineRule="auto"/>
              <w:jc w:val="both"/>
              <w:rPr>
                <w:color w:val="000000"/>
                <w:sz w:val="18"/>
                <w:szCs w:val="18"/>
              </w:rPr>
            </w:pPr>
            <w:r>
              <w:rPr>
                <w:color w:val="000000"/>
                <w:sz w:val="18"/>
                <w:szCs w:val="18"/>
              </w:rPr>
              <w:t>Palangka Raya</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78,03</w:t>
            </w:r>
          </w:p>
        </w:tc>
        <w:tc>
          <w:tcPr>
            <w:tcW w:w="1087"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76,30</w:t>
            </w:r>
          </w:p>
        </w:tc>
        <w:tc>
          <w:tcPr>
            <w:tcW w:w="1086"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46,86</w:t>
            </w:r>
          </w:p>
        </w:tc>
        <w:tc>
          <w:tcPr>
            <w:tcW w:w="951" w:type="dxa"/>
            <w:shd w:val="clear" w:color="auto" w:fill="EAF1DD" w:themeFill="accent3"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49,90</w:t>
            </w:r>
          </w:p>
        </w:tc>
      </w:tr>
      <w:tr>
        <w:trPr>
          <w:trHeight w:val="417"/>
        </w:trPr>
        <w:tc>
          <w:tcPr>
            <w:tcW w:w="1870" w:type="dxa"/>
            <w:shd w:val="clear" w:color="auto" w:fill="E5DFEC" w:themeFill="accent4" w:themeFillTint="33"/>
            <w:hideMark/>
          </w:tcPr>
          <w:p>
            <w:pPr>
              <w:spacing w:before="40" w:after="40" w:line="269" w:lineRule="auto"/>
              <w:jc w:val="both"/>
              <w:rPr>
                <w:bCs/>
                <w:color w:val="000000"/>
                <w:sz w:val="18"/>
                <w:szCs w:val="18"/>
              </w:rPr>
            </w:pPr>
            <w:r>
              <w:rPr>
                <w:bCs/>
                <w:color w:val="000000"/>
                <w:sz w:val="18"/>
                <w:szCs w:val="18"/>
              </w:rPr>
              <w:t>Kalimantan Tengah</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84,67</w:t>
            </w:r>
          </w:p>
        </w:tc>
        <w:tc>
          <w:tcPr>
            <w:tcW w:w="1087"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84,70</w:t>
            </w:r>
          </w:p>
        </w:tc>
        <w:tc>
          <w:tcPr>
            <w:tcW w:w="1086"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50,57</w:t>
            </w:r>
          </w:p>
        </w:tc>
        <w:tc>
          <w:tcPr>
            <w:tcW w:w="951" w:type="dxa"/>
            <w:shd w:val="clear" w:color="auto" w:fill="E5DFEC" w:themeFill="accent4" w:themeFillTint="33"/>
            <w:vAlign w:val="bottom"/>
          </w:tcPr>
          <w:p>
            <w:pPr>
              <w:spacing w:before="40" w:after="40" w:line="269" w:lineRule="auto"/>
              <w:jc w:val="both"/>
              <w:rPr>
                <w:rFonts w:cstheme="minorHAnsi"/>
                <w:sz w:val="18"/>
                <w:szCs w:val="18"/>
              </w:rPr>
            </w:pPr>
            <w:r>
              <w:rPr>
                <w:rFonts w:ascii="Calibri" w:hAnsi="Calibri" w:cs="Calibri"/>
                <w:color w:val="000000"/>
                <w:sz w:val="18"/>
                <w:szCs w:val="18"/>
              </w:rPr>
              <w:t>51,12</w:t>
            </w:r>
          </w:p>
        </w:tc>
      </w:tr>
    </w:tbl>
    <w:p>
      <w:pPr>
        <w:pStyle w:val="BodyTextIndent2"/>
        <w:spacing w:line="240" w:lineRule="auto"/>
        <w:ind w:left="0"/>
        <w:jc w:val="both"/>
        <w:rPr>
          <w:rFonts w:asciiTheme="minorHAnsi" w:hAnsiTheme="minorHAnsi"/>
          <w:i/>
          <w:sz w:val="18"/>
          <w:szCs w:val="18"/>
        </w:rPr>
      </w:pPr>
      <w:r>
        <w:rPr>
          <w:rFonts w:asciiTheme="minorHAnsi" w:hAnsiTheme="minorHAnsi"/>
          <w:i/>
          <w:sz w:val="18"/>
          <w:szCs w:val="18"/>
        </w:rPr>
        <w:t>Sumber: BPS, Sakernas Agustus 2020 - 2021</w:t>
      </w: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pStyle w:val="Caption"/>
        <w:ind w:left="1418" w:hanging="1134"/>
        <w:jc w:val="both"/>
        <w:rPr>
          <w:rFonts w:cstheme="minorHAnsi"/>
          <w:b/>
          <w:bCs/>
          <w:i w:val="0"/>
          <w:iCs w:val="0"/>
          <w:color w:val="000000" w:themeColor="text1"/>
          <w:sz w:val="20"/>
          <w:szCs w:val="20"/>
          <w:lang w:eastAsia="id-ID"/>
        </w:rPr>
      </w:pPr>
      <w:bookmarkStart w:id="107" w:name="_Toc117519628"/>
      <w:r>
        <w:rPr>
          <w:b/>
          <w:bCs/>
          <w:i w:val="0"/>
          <w:iCs w:val="0"/>
          <w:color w:val="000000" w:themeColor="text1"/>
          <w:sz w:val="20"/>
          <w:szCs w:val="20"/>
        </w:rPr>
        <w:t xml:space="preserve">Gambar 7. </w:t>
      </w:r>
      <w:r>
        <w:rPr>
          <w:b/>
          <w:bCs/>
          <w:i w:val="0"/>
          <w:iCs w:val="0"/>
          <w:color w:val="000000" w:themeColor="text1"/>
          <w:sz w:val="20"/>
          <w:szCs w:val="20"/>
        </w:rPr>
        <w:fldChar w:fldCharType="begin"/>
      </w:r>
      <w:r>
        <w:rPr>
          <w:b/>
          <w:bCs/>
          <w:i w:val="0"/>
          <w:iCs w:val="0"/>
          <w:color w:val="000000" w:themeColor="text1"/>
          <w:sz w:val="20"/>
          <w:szCs w:val="20"/>
        </w:rPr>
        <w:instrText xml:space="preserve"> SEQ Gambar_7. \* ARABIC </w:instrText>
      </w:r>
      <w:r>
        <w:rPr>
          <w:b/>
          <w:bCs/>
          <w:i w:val="0"/>
          <w:iCs w:val="0"/>
          <w:color w:val="000000" w:themeColor="text1"/>
          <w:sz w:val="20"/>
          <w:szCs w:val="20"/>
        </w:rPr>
        <w:fldChar w:fldCharType="separate"/>
      </w:r>
      <w:r>
        <w:rPr>
          <w:b/>
          <w:bCs/>
          <w:i w:val="0"/>
          <w:iCs w:val="0"/>
          <w:noProof/>
          <w:color w:val="000000" w:themeColor="text1"/>
          <w:sz w:val="20"/>
          <w:szCs w:val="20"/>
        </w:rPr>
        <w:t>1</w:t>
      </w:r>
      <w:r>
        <w:rPr>
          <w:b/>
          <w:bCs/>
          <w:i w:val="0"/>
          <w:iCs w:val="0"/>
          <w:color w:val="000000" w:themeColor="text1"/>
          <w:sz w:val="20"/>
          <w:szCs w:val="20"/>
        </w:rPr>
        <w:fldChar w:fldCharType="end"/>
      </w:r>
      <w:r>
        <w:rPr>
          <w:b/>
          <w:bCs/>
          <w:i w:val="0"/>
          <w:iCs w:val="0"/>
          <w:color w:val="000000" w:themeColor="text1"/>
          <w:sz w:val="20"/>
          <w:szCs w:val="20"/>
        </w:rPr>
        <w:tab/>
        <w:t>TPAK Menurut Kelompok Umur dan Jenis Kelamin, 2021</w:t>
      </w:r>
      <w:bookmarkEnd w:id="107"/>
    </w:p>
    <w:p>
      <w:pPr>
        <w:tabs>
          <w:tab w:val="left" w:pos="1134"/>
        </w:tabs>
        <w:spacing w:after="0"/>
        <w:ind w:left="1134" w:hanging="1134"/>
        <w:jc w:val="both"/>
        <w:rPr>
          <w:rFonts w:cstheme="minorHAnsi"/>
          <w:lang w:eastAsia="id-ID"/>
        </w:rPr>
      </w:pPr>
      <w:r>
        <w:rPr>
          <w:noProof/>
          <w:sz w:val="20"/>
          <w:szCs w:val="20"/>
          <w:lang w:val="en-ID" w:eastAsia="en-ID"/>
        </w:rPr>
        <w:drawing>
          <wp:anchor distT="0" distB="0" distL="114300" distR="114300" simplePos="0" relativeHeight="251654144" behindDoc="0" locked="0" layoutInCell="1" allowOverlap="1">
            <wp:simplePos x="0" y="0"/>
            <wp:positionH relativeFrom="column">
              <wp:posOffset>194310</wp:posOffset>
            </wp:positionH>
            <wp:positionV relativeFrom="paragraph">
              <wp:posOffset>103505</wp:posOffset>
            </wp:positionV>
            <wp:extent cx="3771900" cy="2033270"/>
            <wp:effectExtent l="0" t="0" r="0" b="0"/>
            <wp:wrapNone/>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A3E5A6-1CE6-69B9-62B3-39EB7C1A3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pStyle w:val="BodyTextIndent2"/>
        <w:spacing w:line="240" w:lineRule="auto"/>
        <w:ind w:left="284"/>
        <w:jc w:val="both"/>
        <w:rPr>
          <w:rFonts w:asciiTheme="minorHAnsi" w:hAnsiTheme="minorHAnsi"/>
          <w:i/>
          <w:sz w:val="20"/>
          <w:szCs w:val="20"/>
        </w:rPr>
      </w:pPr>
      <w:r>
        <w:rPr>
          <w:rFonts w:asciiTheme="minorHAnsi" w:hAnsiTheme="minorHAnsi"/>
          <w:i/>
          <w:sz w:val="20"/>
          <w:szCs w:val="20"/>
        </w:rPr>
        <w:t>Sumber: BPS, Sakernas Agustus 2021</w:t>
      </w: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Dari Gambar 7.1 tampak bahwa pola TPAK menurut kelompok umur menyerupai kurva U terbalik. Ini terjadi baik untuk TPAK laki-laki maupun perempuan, meskipun kenaikan/penurunan TPAK laki-laki tidak secepat kenaikan/penurunan TPAK perempuan. Perbedaan pola TPAK laki-laki dan perempuan yang cukup mencolok terjadi pada kelompok usia muda (15-24 </w:t>
      </w:r>
      <w:r>
        <w:rPr>
          <w:rFonts w:asciiTheme="minorHAnsi" w:hAnsiTheme="minorHAnsi"/>
          <w:sz w:val="20"/>
          <w:szCs w:val="20"/>
        </w:rPr>
        <w:lastRenderedPageBreak/>
        <w:t>tahun), dimana kurva TPAK meningkat tajam, sedangkan TPAK perempuan meningkat tidak begitu tajam sampai dengan kelompok umur 20-24 tahun. Memasuki kelompok usia 30-34 tahun, terjadi perbedaan pola antara laki-laki dan perempuan. Penduduk laki-laki yang termasuk Angkatan kerja terus meningkat dibanding kelompok umur sebelumnya. Sebaliknya, penduduk perempuan di kelompok umur yang sama justru mengalami penurunan partisipasi Angkatan kerja dan kembali naik di kelompok umur selanjutnya.</w:t>
      </w: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Heading2"/>
        <w:numPr>
          <w:ilvl w:val="1"/>
          <w:numId w:val="21"/>
        </w:numPr>
        <w:ind w:left="709" w:hanging="425"/>
        <w:jc w:val="both"/>
        <w:rPr>
          <w:rFonts w:asciiTheme="minorHAnsi" w:hAnsiTheme="minorHAnsi" w:cstheme="minorHAnsi"/>
          <w:sz w:val="20"/>
          <w:szCs w:val="20"/>
          <w:lang w:val="en-US"/>
        </w:rPr>
      </w:pPr>
      <w:bookmarkStart w:id="108" w:name="_Toc118716002"/>
      <w:r>
        <w:rPr>
          <w:rFonts w:asciiTheme="minorHAnsi" w:hAnsiTheme="minorHAnsi" w:cstheme="minorHAnsi"/>
          <w:sz w:val="20"/>
          <w:szCs w:val="20"/>
          <w:lang w:val="en-US"/>
        </w:rPr>
        <w:t>Pekerja Sektor Formal</w:t>
      </w:r>
      <w:bookmarkEnd w:id="108"/>
    </w:p>
    <w:p>
      <w:pPr>
        <w:pStyle w:val="BodyTextIndent2"/>
        <w:tabs>
          <w:tab w:val="left" w:pos="8550"/>
        </w:tabs>
        <w:spacing w:after="0" w:line="360" w:lineRule="auto"/>
        <w:ind w:left="284" w:right="142" w:firstLine="567"/>
        <w:jc w:val="both"/>
        <w:rPr>
          <w:rFonts w:asciiTheme="minorHAnsi" w:hAnsiTheme="minorHAnsi"/>
          <w:sz w:val="20"/>
          <w:szCs w:val="20"/>
        </w:rPr>
      </w:pPr>
      <w:r>
        <w:rPr>
          <w:rFonts w:asciiTheme="minorHAnsi" w:hAnsiTheme="minorHAnsi"/>
          <w:sz w:val="20"/>
          <w:szCs w:val="20"/>
        </w:rPr>
        <w:t>Kemajuan perekonomian suatu daerah dapat ditandai dengan adanya peningkatan kualitas tenaga kerjanya yang digambarkan dengan meningkatnya jumlah pekerja sektor formal seiring dengan penurunan pekerja sektor informal. Pekerja sektor formal adalah mereka yang bekerja dengan status pekerjaan berusaha dibantu buruh tetap/buruh dibayar dan mereka yang berstatus sebagai pegawai/karyawan/buruh. Dalam pembangunan berbasis kesetaraan gender, sangat penting untuk diketahui seberapa besar proporsi pekerja perempuan terhadap pekerja laki-laki dalam hal sebagai pekerja sektor formal.</w:t>
      </w:r>
    </w:p>
    <w:p>
      <w:pPr>
        <w:tabs>
          <w:tab w:val="left" w:pos="6237"/>
        </w:tabs>
        <w:spacing w:after="0" w:line="360" w:lineRule="auto"/>
        <w:ind w:left="284" w:right="142" w:firstLine="567"/>
        <w:jc w:val="both"/>
        <w:rPr>
          <w:sz w:val="20"/>
          <w:szCs w:val="20"/>
        </w:rPr>
      </w:pPr>
      <w:r>
        <w:rPr>
          <w:sz w:val="20"/>
          <w:szCs w:val="20"/>
        </w:rPr>
        <w:t xml:space="preserve">Tabel 7.3 menunjukan bahwa terjadi peningkatan jumlah pekerja sektor formal di Kalimantan Tengah dari tahun 2020 sampai dengan 2021 baik pada pekerja laki-laki maupun pekerja perempuan. Pada tahun 2020 pekerja formal laki-laki sebanyak 410.911 orang dan pekerja formal perempuan sebanyak 171.741 orang. Setahun kemudian, terjadi </w:t>
      </w:r>
      <w:r>
        <w:rPr>
          <w:sz w:val="20"/>
          <w:szCs w:val="20"/>
        </w:rPr>
        <w:lastRenderedPageBreak/>
        <w:t>peningkatan untuk pekerja formal laki-laki maupun perempuan masing-masing sebesar 1,91 persen dan 5,06 persen.</w:t>
      </w:r>
    </w:p>
    <w:p>
      <w:pPr>
        <w:spacing w:line="360" w:lineRule="auto"/>
        <w:ind w:left="284" w:right="142" w:firstLine="567"/>
        <w:jc w:val="both"/>
        <w:rPr>
          <w:color w:val="000000" w:themeColor="text1"/>
          <w:sz w:val="20"/>
          <w:szCs w:val="20"/>
        </w:rPr>
      </w:pPr>
      <w:r>
        <w:rPr>
          <w:color w:val="000000" w:themeColor="text1"/>
          <w:sz w:val="20"/>
          <w:szCs w:val="20"/>
        </w:rPr>
        <w:t>Bila dilihat menurut kabupaten/kota, terdapat beberapa wilayah yang mengalami penurunan jumlah pekerja formal laki-laki dan beberapa wilayah mengalami penurunan jumlah pekerja formal perempuan. Kabupaten Kotawaringin Timur, Kapuas, Lamandau, dan Kota Palangka Raya mengalami penurunan pekerja formal laki-laki, sedangkan Kabupaten Kotawaringin Barat, Barito Utara, dan Barito Timur mengalami penurunan pekerja formal perempuan. Pada pekerja formal perempuan, Kabupaten Kotawaringin mengalami penurunan hingga 15,50 persen dibandingkan tahun 2020. Di sisi lain, Kabupaten Sukamara mengalami kenaikan jumlah pekerja formal perempuan mencapai 33,53 persen dibandingkan tahun 2020.</w:t>
      </w: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spacing w:line="360" w:lineRule="auto"/>
        <w:ind w:left="284" w:right="142" w:firstLine="567"/>
        <w:jc w:val="both"/>
        <w:rPr>
          <w:color w:val="000000" w:themeColor="text1"/>
          <w:sz w:val="20"/>
          <w:szCs w:val="20"/>
        </w:rPr>
      </w:pPr>
    </w:p>
    <w:p>
      <w:pPr>
        <w:pStyle w:val="Caption"/>
        <w:ind w:left="1418" w:hanging="1134"/>
        <w:jc w:val="both"/>
        <w:rPr>
          <w:b/>
          <w:bCs/>
          <w:i w:val="0"/>
          <w:iCs w:val="0"/>
          <w:color w:val="auto"/>
          <w:sz w:val="20"/>
          <w:szCs w:val="20"/>
        </w:rPr>
      </w:pPr>
      <w:bookmarkStart w:id="109" w:name="_Toc117519549"/>
      <w:r>
        <w:rPr>
          <w:b/>
          <w:bCs/>
          <w:i w:val="0"/>
          <w:iCs w:val="0"/>
          <w:color w:val="auto"/>
          <w:sz w:val="20"/>
          <w:szCs w:val="20"/>
        </w:rPr>
        <w:t xml:space="preserve">Tabel 7. </w:t>
      </w:r>
      <w:r>
        <w:rPr>
          <w:b/>
          <w:bCs/>
          <w:i w:val="0"/>
          <w:iCs w:val="0"/>
          <w:color w:val="auto"/>
          <w:sz w:val="20"/>
          <w:szCs w:val="20"/>
        </w:rPr>
        <w:fldChar w:fldCharType="begin"/>
      </w:r>
      <w:r>
        <w:rPr>
          <w:b/>
          <w:bCs/>
          <w:i w:val="0"/>
          <w:iCs w:val="0"/>
          <w:color w:val="auto"/>
          <w:sz w:val="20"/>
          <w:szCs w:val="20"/>
        </w:rPr>
        <w:instrText xml:space="preserve"> SEQ Tabel_7. \* ARABIC </w:instrText>
      </w:r>
      <w:r>
        <w:rPr>
          <w:b/>
          <w:bCs/>
          <w:i w:val="0"/>
          <w:iCs w:val="0"/>
          <w:color w:val="auto"/>
          <w:sz w:val="20"/>
          <w:szCs w:val="20"/>
        </w:rPr>
        <w:fldChar w:fldCharType="separate"/>
      </w:r>
      <w:r>
        <w:rPr>
          <w:b/>
          <w:bCs/>
          <w:i w:val="0"/>
          <w:iCs w:val="0"/>
          <w:noProof/>
          <w:color w:val="auto"/>
          <w:sz w:val="20"/>
          <w:szCs w:val="20"/>
        </w:rPr>
        <w:t>3</w:t>
      </w:r>
      <w:r>
        <w:rPr>
          <w:b/>
          <w:bCs/>
          <w:i w:val="0"/>
          <w:iCs w:val="0"/>
          <w:color w:val="auto"/>
          <w:sz w:val="20"/>
          <w:szCs w:val="20"/>
        </w:rPr>
        <w:fldChar w:fldCharType="end"/>
      </w:r>
      <w:r>
        <w:rPr>
          <w:b/>
          <w:bCs/>
          <w:i w:val="0"/>
          <w:iCs w:val="0"/>
          <w:color w:val="auto"/>
          <w:sz w:val="20"/>
          <w:szCs w:val="20"/>
        </w:rPr>
        <w:tab/>
        <w:t>Jumlah Pekerja Formal Menurut Jenis Kelamin dan Kabupaten/ Kota, 2020-2021</w:t>
      </w:r>
      <w:bookmarkEnd w:id="109"/>
    </w:p>
    <w:tbl>
      <w:tblPr>
        <w:tblStyle w:val="TableGrid"/>
        <w:tblpPr w:leftFromText="180" w:rightFromText="180" w:vertAnchor="text" w:tblpX="358" w:tblpY="1"/>
        <w:tblW w:w="5865" w:type="dxa"/>
        <w:tblLayout w:type="fixed"/>
        <w:tblLook w:val="04A0" w:firstRow="1" w:lastRow="0" w:firstColumn="1" w:lastColumn="0" w:noHBand="0" w:noVBand="1"/>
      </w:tblPr>
      <w:tblGrid>
        <w:gridCol w:w="1734"/>
        <w:gridCol w:w="1030"/>
        <w:gridCol w:w="1054"/>
        <w:gridCol w:w="1052"/>
        <w:gridCol w:w="995"/>
      </w:tblGrid>
      <w:tr>
        <w:trPr>
          <w:trHeight w:val="326"/>
        </w:trPr>
        <w:tc>
          <w:tcPr>
            <w:tcW w:w="1734"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Kabupaten/Kota</w:t>
            </w:r>
          </w:p>
        </w:tc>
        <w:tc>
          <w:tcPr>
            <w:tcW w:w="2084"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Laki-laki</w:t>
            </w:r>
          </w:p>
        </w:tc>
        <w:tc>
          <w:tcPr>
            <w:tcW w:w="204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Perempuan</w:t>
            </w:r>
          </w:p>
        </w:tc>
      </w:tr>
      <w:tr>
        <w:trPr>
          <w:trHeight w:val="326"/>
        </w:trPr>
        <w:tc>
          <w:tcPr>
            <w:tcW w:w="173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lang w:val="en-US"/>
              </w:rPr>
            </w:pPr>
          </w:p>
        </w:tc>
        <w:tc>
          <w:tcPr>
            <w:tcW w:w="103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2020</w:t>
            </w:r>
          </w:p>
        </w:tc>
        <w:tc>
          <w:tcPr>
            <w:tcW w:w="10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2021</w:t>
            </w:r>
          </w:p>
        </w:tc>
        <w:tc>
          <w:tcPr>
            <w:tcW w:w="10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2020</w:t>
            </w:r>
          </w:p>
        </w:tc>
        <w:tc>
          <w:tcPr>
            <w:tcW w:w="9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2021</w:t>
            </w:r>
          </w:p>
        </w:tc>
      </w:tr>
      <w:tr>
        <w:trPr>
          <w:trHeight w:val="181"/>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(1)</w:t>
            </w:r>
          </w:p>
        </w:tc>
        <w:tc>
          <w:tcPr>
            <w:tcW w:w="103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(2)</w:t>
            </w:r>
          </w:p>
        </w:tc>
        <w:tc>
          <w:tcPr>
            <w:tcW w:w="10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(3)</w:t>
            </w:r>
          </w:p>
        </w:tc>
        <w:tc>
          <w:tcPr>
            <w:tcW w:w="10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(5)</w:t>
            </w:r>
          </w:p>
        </w:tc>
        <w:tc>
          <w:tcPr>
            <w:tcW w:w="9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(6)</w:t>
            </w:r>
          </w:p>
        </w:tc>
      </w:tr>
      <w:tr>
        <w:trPr>
          <w:trHeight w:val="279"/>
        </w:trPr>
        <w:tc>
          <w:tcPr>
            <w:tcW w:w="1734" w:type="dxa"/>
            <w:tcBorders>
              <w:top w:val="single" w:sz="4" w:space="0" w:color="F2F2F2" w:themeColor="background1" w:themeShade="F2"/>
              <w:left w:val="single" w:sz="4" w:space="0" w:color="auto"/>
              <w:bottom w:val="single" w:sz="4" w:space="0" w:color="auto"/>
              <w:right w:val="single" w:sz="4" w:space="0" w:color="auto"/>
            </w:tcBorders>
            <w:shd w:val="clear" w:color="auto" w:fill="EAF1DD" w:themeFill="accent3" w:themeFillTint="33"/>
            <w:hideMark/>
          </w:tcPr>
          <w:p>
            <w:pPr>
              <w:jc w:val="both"/>
              <w:rPr>
                <w:rFonts w:cstheme="minorHAnsi"/>
                <w:color w:val="000000"/>
                <w:sz w:val="18"/>
                <w:szCs w:val="18"/>
              </w:rPr>
            </w:pPr>
            <w:r>
              <w:rPr>
                <w:rFonts w:cstheme="minorHAnsi"/>
                <w:color w:val="000000"/>
                <w:sz w:val="18"/>
                <w:szCs w:val="18"/>
              </w:rPr>
              <w:t>Kotawaringin Barat</w:t>
            </w:r>
          </w:p>
        </w:tc>
        <w:tc>
          <w:tcPr>
            <w:tcW w:w="1030" w:type="dxa"/>
            <w:tcBorders>
              <w:top w:val="single" w:sz="4" w:space="0" w:color="F2F2F2" w:themeColor="background1" w:themeShade="F2"/>
              <w:left w:val="nil"/>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58.839</w:t>
            </w:r>
          </w:p>
        </w:tc>
        <w:tc>
          <w:tcPr>
            <w:tcW w:w="1054" w:type="dxa"/>
            <w:tcBorders>
              <w:top w:val="single" w:sz="4" w:space="0" w:color="F2F2F2" w:themeColor="background1" w:themeShade="F2"/>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58.845</w:t>
            </w:r>
          </w:p>
        </w:tc>
        <w:tc>
          <w:tcPr>
            <w:tcW w:w="1052" w:type="dxa"/>
            <w:tcBorders>
              <w:top w:val="single" w:sz="4" w:space="0" w:color="F2F2F2" w:themeColor="background1" w:themeShade="F2"/>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25.081</w:t>
            </w:r>
          </w:p>
        </w:tc>
        <w:tc>
          <w:tcPr>
            <w:tcW w:w="995" w:type="dxa"/>
            <w:tcBorders>
              <w:top w:val="single" w:sz="4" w:space="0" w:color="F2F2F2" w:themeColor="background1" w:themeShade="F2"/>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21.193</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jc w:val="both"/>
              <w:rPr>
                <w:rFonts w:cstheme="minorHAnsi"/>
                <w:color w:val="000000"/>
                <w:sz w:val="18"/>
                <w:szCs w:val="18"/>
              </w:rPr>
            </w:pPr>
            <w:r>
              <w:rPr>
                <w:rFonts w:cstheme="minorHAnsi"/>
                <w:color w:val="000000"/>
                <w:sz w:val="18"/>
                <w:szCs w:val="18"/>
              </w:rPr>
              <w:t>Kotawaringin Timur</w:t>
            </w:r>
          </w:p>
        </w:tc>
        <w:tc>
          <w:tcPr>
            <w:tcW w:w="103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77.268</w:t>
            </w:r>
          </w:p>
        </w:tc>
        <w:tc>
          <w:tcPr>
            <w:tcW w:w="10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75.248</w:t>
            </w:r>
          </w:p>
        </w:tc>
        <w:tc>
          <w:tcPr>
            <w:tcW w:w="10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24.641</w:t>
            </w:r>
          </w:p>
        </w:tc>
        <w:tc>
          <w:tcPr>
            <w:tcW w:w="9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26.912</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jc w:val="both"/>
              <w:rPr>
                <w:rFonts w:cstheme="minorHAnsi"/>
                <w:color w:val="000000"/>
                <w:sz w:val="18"/>
                <w:szCs w:val="18"/>
              </w:rPr>
            </w:pPr>
            <w:r>
              <w:rPr>
                <w:rFonts w:cstheme="minorHAnsi"/>
                <w:color w:val="000000"/>
                <w:sz w:val="18"/>
                <w:szCs w:val="18"/>
              </w:rPr>
              <w:t>Kapuas</w:t>
            </w:r>
          </w:p>
        </w:tc>
        <w:tc>
          <w:tcPr>
            <w:tcW w:w="10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36.625</w:t>
            </w:r>
          </w:p>
        </w:tc>
        <w:tc>
          <w:tcPr>
            <w:tcW w:w="10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36.267</w:t>
            </w:r>
          </w:p>
        </w:tc>
        <w:tc>
          <w:tcPr>
            <w:tcW w:w="10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17.659</w:t>
            </w:r>
          </w:p>
        </w:tc>
        <w:tc>
          <w:tcPr>
            <w:tcW w:w="9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19.320</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jc w:val="both"/>
              <w:rPr>
                <w:rFonts w:cstheme="minorHAnsi"/>
                <w:color w:val="000000"/>
                <w:sz w:val="18"/>
                <w:szCs w:val="18"/>
              </w:rPr>
            </w:pPr>
            <w:r>
              <w:rPr>
                <w:rFonts w:cstheme="minorHAnsi"/>
                <w:color w:val="000000"/>
                <w:sz w:val="18"/>
                <w:szCs w:val="18"/>
              </w:rPr>
              <w:t>Barito Selatan</w:t>
            </w:r>
          </w:p>
        </w:tc>
        <w:tc>
          <w:tcPr>
            <w:tcW w:w="103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17.452</w:t>
            </w:r>
          </w:p>
        </w:tc>
        <w:tc>
          <w:tcPr>
            <w:tcW w:w="10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18.794</w:t>
            </w:r>
          </w:p>
        </w:tc>
        <w:tc>
          <w:tcPr>
            <w:tcW w:w="10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7.979</w:t>
            </w:r>
          </w:p>
        </w:tc>
        <w:tc>
          <w:tcPr>
            <w:tcW w:w="9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8.306</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jc w:val="both"/>
              <w:rPr>
                <w:rFonts w:cstheme="minorHAnsi"/>
                <w:color w:val="000000"/>
                <w:sz w:val="18"/>
                <w:szCs w:val="18"/>
              </w:rPr>
            </w:pPr>
            <w:r>
              <w:rPr>
                <w:rFonts w:cstheme="minorHAnsi"/>
                <w:color w:val="000000"/>
                <w:sz w:val="18"/>
                <w:szCs w:val="18"/>
              </w:rPr>
              <w:t>Barito Utara</w:t>
            </w:r>
          </w:p>
        </w:tc>
        <w:tc>
          <w:tcPr>
            <w:tcW w:w="10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17.925</w:t>
            </w:r>
          </w:p>
        </w:tc>
        <w:tc>
          <w:tcPr>
            <w:tcW w:w="10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19.927</w:t>
            </w:r>
          </w:p>
        </w:tc>
        <w:tc>
          <w:tcPr>
            <w:tcW w:w="10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8.957</w:t>
            </w:r>
          </w:p>
        </w:tc>
        <w:tc>
          <w:tcPr>
            <w:tcW w:w="9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8.276</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jc w:val="both"/>
              <w:rPr>
                <w:rFonts w:cstheme="minorHAnsi"/>
                <w:color w:val="000000"/>
                <w:sz w:val="18"/>
                <w:szCs w:val="18"/>
              </w:rPr>
            </w:pPr>
            <w:r>
              <w:rPr>
                <w:rFonts w:cstheme="minorHAnsi"/>
                <w:color w:val="000000"/>
                <w:sz w:val="18"/>
                <w:szCs w:val="18"/>
              </w:rPr>
              <w:t>Sukamara</w:t>
            </w:r>
          </w:p>
        </w:tc>
        <w:tc>
          <w:tcPr>
            <w:tcW w:w="103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11.059</w:t>
            </w:r>
          </w:p>
        </w:tc>
        <w:tc>
          <w:tcPr>
            <w:tcW w:w="10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12.625</w:t>
            </w:r>
          </w:p>
        </w:tc>
        <w:tc>
          <w:tcPr>
            <w:tcW w:w="10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4.849</w:t>
            </w:r>
          </w:p>
        </w:tc>
        <w:tc>
          <w:tcPr>
            <w:tcW w:w="9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6.475</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jc w:val="both"/>
              <w:rPr>
                <w:rFonts w:cstheme="minorHAnsi"/>
                <w:color w:val="000000"/>
                <w:sz w:val="18"/>
                <w:szCs w:val="18"/>
              </w:rPr>
            </w:pPr>
            <w:r>
              <w:rPr>
                <w:rFonts w:cstheme="minorHAnsi"/>
                <w:color w:val="000000"/>
                <w:sz w:val="18"/>
                <w:szCs w:val="18"/>
              </w:rPr>
              <w:t>Lamandau</w:t>
            </w:r>
          </w:p>
        </w:tc>
        <w:tc>
          <w:tcPr>
            <w:tcW w:w="10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12.938</w:t>
            </w:r>
          </w:p>
        </w:tc>
        <w:tc>
          <w:tcPr>
            <w:tcW w:w="10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12.491</w:t>
            </w:r>
          </w:p>
        </w:tc>
        <w:tc>
          <w:tcPr>
            <w:tcW w:w="10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6.317</w:t>
            </w:r>
          </w:p>
        </w:tc>
        <w:tc>
          <w:tcPr>
            <w:tcW w:w="9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6.504</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jc w:val="both"/>
              <w:rPr>
                <w:rFonts w:cstheme="minorHAnsi"/>
                <w:color w:val="000000"/>
                <w:sz w:val="18"/>
                <w:szCs w:val="18"/>
              </w:rPr>
            </w:pPr>
            <w:r>
              <w:rPr>
                <w:rFonts w:cstheme="minorHAnsi"/>
                <w:color w:val="000000"/>
                <w:sz w:val="18"/>
                <w:szCs w:val="18"/>
              </w:rPr>
              <w:t>Seruyan</w:t>
            </w:r>
          </w:p>
        </w:tc>
        <w:tc>
          <w:tcPr>
            <w:tcW w:w="103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38.449</w:t>
            </w:r>
          </w:p>
        </w:tc>
        <w:tc>
          <w:tcPr>
            <w:tcW w:w="10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43.775</w:t>
            </w:r>
          </w:p>
        </w:tc>
        <w:tc>
          <w:tcPr>
            <w:tcW w:w="10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20.207</w:t>
            </w:r>
          </w:p>
        </w:tc>
        <w:tc>
          <w:tcPr>
            <w:tcW w:w="9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21.707</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jc w:val="both"/>
              <w:rPr>
                <w:rFonts w:cstheme="minorHAnsi"/>
                <w:color w:val="000000"/>
                <w:sz w:val="18"/>
                <w:szCs w:val="18"/>
              </w:rPr>
            </w:pPr>
            <w:r>
              <w:rPr>
                <w:rFonts w:cstheme="minorHAnsi"/>
                <w:color w:val="000000"/>
                <w:sz w:val="18"/>
                <w:szCs w:val="18"/>
              </w:rPr>
              <w:t>Katingan</w:t>
            </w:r>
          </w:p>
        </w:tc>
        <w:tc>
          <w:tcPr>
            <w:tcW w:w="10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26.108</w:t>
            </w:r>
          </w:p>
        </w:tc>
        <w:tc>
          <w:tcPr>
            <w:tcW w:w="10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26.442</w:t>
            </w:r>
          </w:p>
        </w:tc>
        <w:tc>
          <w:tcPr>
            <w:tcW w:w="10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5.785</w:t>
            </w:r>
          </w:p>
        </w:tc>
        <w:tc>
          <w:tcPr>
            <w:tcW w:w="9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7.135</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jc w:val="both"/>
              <w:rPr>
                <w:rFonts w:cstheme="minorHAnsi"/>
                <w:color w:val="000000"/>
                <w:sz w:val="18"/>
                <w:szCs w:val="18"/>
              </w:rPr>
            </w:pPr>
            <w:r>
              <w:rPr>
                <w:rFonts w:cstheme="minorHAnsi"/>
                <w:color w:val="000000"/>
                <w:sz w:val="18"/>
                <w:szCs w:val="18"/>
              </w:rPr>
              <w:t>Pulang Pisau</w:t>
            </w:r>
          </w:p>
        </w:tc>
        <w:tc>
          <w:tcPr>
            <w:tcW w:w="103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13.287</w:t>
            </w:r>
          </w:p>
        </w:tc>
        <w:tc>
          <w:tcPr>
            <w:tcW w:w="10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15.788</w:t>
            </w:r>
          </w:p>
        </w:tc>
        <w:tc>
          <w:tcPr>
            <w:tcW w:w="10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5.195</w:t>
            </w:r>
          </w:p>
        </w:tc>
        <w:tc>
          <w:tcPr>
            <w:tcW w:w="9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5.403</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jc w:val="both"/>
              <w:rPr>
                <w:rFonts w:cstheme="minorHAnsi"/>
                <w:color w:val="000000"/>
                <w:sz w:val="18"/>
                <w:szCs w:val="18"/>
              </w:rPr>
            </w:pPr>
            <w:r>
              <w:rPr>
                <w:rFonts w:cstheme="minorHAnsi"/>
                <w:color w:val="000000"/>
                <w:sz w:val="18"/>
                <w:szCs w:val="18"/>
              </w:rPr>
              <w:t>Gunung Mas</w:t>
            </w:r>
          </w:p>
        </w:tc>
        <w:tc>
          <w:tcPr>
            <w:tcW w:w="10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21.610</w:t>
            </w:r>
          </w:p>
        </w:tc>
        <w:tc>
          <w:tcPr>
            <w:tcW w:w="10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22.492</w:t>
            </w:r>
          </w:p>
        </w:tc>
        <w:tc>
          <w:tcPr>
            <w:tcW w:w="10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6.744</w:t>
            </w:r>
          </w:p>
        </w:tc>
        <w:tc>
          <w:tcPr>
            <w:tcW w:w="9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7.817</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jc w:val="both"/>
              <w:rPr>
                <w:rFonts w:cstheme="minorHAnsi"/>
                <w:color w:val="000000"/>
                <w:sz w:val="18"/>
                <w:szCs w:val="18"/>
              </w:rPr>
            </w:pPr>
            <w:r>
              <w:rPr>
                <w:rFonts w:cstheme="minorHAnsi"/>
                <w:color w:val="000000"/>
                <w:sz w:val="18"/>
                <w:szCs w:val="18"/>
              </w:rPr>
              <w:t>Barito Timur</w:t>
            </w:r>
          </w:p>
        </w:tc>
        <w:tc>
          <w:tcPr>
            <w:tcW w:w="103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12.875</w:t>
            </w:r>
          </w:p>
        </w:tc>
        <w:tc>
          <w:tcPr>
            <w:tcW w:w="10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13.765</w:t>
            </w:r>
          </w:p>
        </w:tc>
        <w:tc>
          <w:tcPr>
            <w:tcW w:w="10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9.263</w:t>
            </w:r>
          </w:p>
        </w:tc>
        <w:tc>
          <w:tcPr>
            <w:tcW w:w="9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8.211</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jc w:val="both"/>
              <w:rPr>
                <w:rFonts w:cstheme="minorHAnsi"/>
                <w:color w:val="000000"/>
                <w:sz w:val="18"/>
                <w:szCs w:val="18"/>
              </w:rPr>
            </w:pPr>
            <w:r>
              <w:rPr>
                <w:rFonts w:cstheme="minorHAnsi"/>
                <w:color w:val="000000"/>
                <w:sz w:val="18"/>
                <w:szCs w:val="18"/>
              </w:rPr>
              <w:t>Murung Raya</w:t>
            </w:r>
          </w:p>
        </w:tc>
        <w:tc>
          <w:tcPr>
            <w:tcW w:w="10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15.440</w:t>
            </w:r>
          </w:p>
        </w:tc>
        <w:tc>
          <w:tcPr>
            <w:tcW w:w="10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16.345</w:t>
            </w:r>
          </w:p>
        </w:tc>
        <w:tc>
          <w:tcPr>
            <w:tcW w:w="10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5.413</w:t>
            </w:r>
          </w:p>
        </w:tc>
        <w:tc>
          <w:tcPr>
            <w:tcW w:w="9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5.676</w:t>
            </w:r>
          </w:p>
        </w:tc>
      </w:tr>
      <w:tr>
        <w:trPr>
          <w:trHeight w:val="279"/>
        </w:trPr>
        <w:tc>
          <w:tcPr>
            <w:tcW w:w="17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jc w:val="both"/>
              <w:rPr>
                <w:rFonts w:cstheme="minorHAnsi"/>
                <w:color w:val="000000"/>
                <w:sz w:val="18"/>
                <w:szCs w:val="18"/>
              </w:rPr>
            </w:pPr>
            <w:r>
              <w:rPr>
                <w:rFonts w:cstheme="minorHAnsi"/>
                <w:color w:val="000000"/>
                <w:sz w:val="18"/>
                <w:szCs w:val="18"/>
              </w:rPr>
              <w:lastRenderedPageBreak/>
              <w:t>Palangka Raya</w:t>
            </w:r>
          </w:p>
        </w:tc>
        <w:tc>
          <w:tcPr>
            <w:tcW w:w="103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51.036</w:t>
            </w:r>
          </w:p>
        </w:tc>
        <w:tc>
          <w:tcPr>
            <w:tcW w:w="10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45.939</w:t>
            </w:r>
          </w:p>
        </w:tc>
        <w:tc>
          <w:tcPr>
            <w:tcW w:w="10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23.651</w:t>
            </w:r>
          </w:p>
        </w:tc>
        <w:tc>
          <w:tcPr>
            <w:tcW w:w="9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27.491</w:t>
            </w:r>
          </w:p>
        </w:tc>
      </w:tr>
      <w:tr>
        <w:trPr>
          <w:trHeight w:val="326"/>
        </w:trPr>
        <w:tc>
          <w:tcPr>
            <w:tcW w:w="17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jc w:val="both"/>
              <w:rPr>
                <w:rFonts w:cstheme="minorHAnsi"/>
                <w:bCs/>
                <w:color w:val="000000"/>
                <w:sz w:val="18"/>
                <w:szCs w:val="18"/>
              </w:rPr>
            </w:pPr>
            <w:r>
              <w:rPr>
                <w:rFonts w:cstheme="minorHAnsi"/>
                <w:bCs/>
                <w:color w:val="000000"/>
                <w:sz w:val="18"/>
                <w:szCs w:val="18"/>
              </w:rPr>
              <w:t>Kalimantan Tengah</w:t>
            </w:r>
          </w:p>
        </w:tc>
        <w:tc>
          <w:tcPr>
            <w:tcW w:w="10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410.911</w:t>
            </w:r>
          </w:p>
        </w:tc>
        <w:tc>
          <w:tcPr>
            <w:tcW w:w="10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418.743</w:t>
            </w:r>
          </w:p>
        </w:tc>
        <w:tc>
          <w:tcPr>
            <w:tcW w:w="10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171.741</w:t>
            </w:r>
          </w:p>
        </w:tc>
        <w:tc>
          <w:tcPr>
            <w:tcW w:w="9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180.426</w:t>
            </w:r>
          </w:p>
        </w:tc>
      </w:tr>
    </w:tbl>
    <w:p>
      <w:pPr>
        <w:pStyle w:val="BodyTextIndent2"/>
        <w:spacing w:after="0" w:line="240" w:lineRule="auto"/>
        <w:ind w:left="284"/>
        <w:jc w:val="both"/>
        <w:rPr>
          <w:rFonts w:asciiTheme="minorHAnsi" w:hAnsiTheme="minorHAnsi"/>
          <w:i/>
          <w:sz w:val="18"/>
          <w:szCs w:val="18"/>
        </w:rPr>
      </w:pPr>
      <w:r>
        <w:rPr>
          <w:rFonts w:asciiTheme="minorHAnsi" w:hAnsiTheme="minorHAnsi"/>
          <w:i/>
          <w:sz w:val="18"/>
          <w:szCs w:val="18"/>
        </w:rPr>
        <w:t>Sumber: BPS, Sakernas Agustus 2020 – 2021</w:t>
      </w:r>
    </w:p>
    <w:p>
      <w:pPr>
        <w:pStyle w:val="BodyTextIndent2"/>
        <w:spacing w:after="0" w:line="240" w:lineRule="auto"/>
        <w:ind w:left="0"/>
        <w:jc w:val="both"/>
        <w:rPr>
          <w:rFonts w:asciiTheme="minorHAnsi" w:hAnsiTheme="minorHAnsi"/>
          <w:i/>
          <w:sz w:val="20"/>
          <w:szCs w:val="20"/>
        </w:rPr>
      </w:pPr>
    </w:p>
    <w:p>
      <w:pPr>
        <w:pStyle w:val="BodyTextIndent2"/>
        <w:spacing w:after="0" w:line="240" w:lineRule="auto"/>
        <w:ind w:left="0"/>
        <w:jc w:val="both"/>
        <w:rPr>
          <w:rFonts w:asciiTheme="minorHAnsi" w:hAnsiTheme="minorHAnsi"/>
          <w:i/>
          <w:sz w:val="20"/>
          <w:szCs w:val="20"/>
        </w:rPr>
      </w:pPr>
    </w:p>
    <w:p>
      <w:pPr>
        <w:pStyle w:val="Heading2"/>
        <w:numPr>
          <w:ilvl w:val="1"/>
          <w:numId w:val="21"/>
        </w:numPr>
        <w:ind w:left="709" w:hanging="425"/>
        <w:jc w:val="both"/>
        <w:rPr>
          <w:rFonts w:asciiTheme="minorHAnsi" w:hAnsiTheme="minorHAnsi" w:cstheme="minorHAnsi"/>
          <w:sz w:val="20"/>
          <w:szCs w:val="20"/>
          <w:lang w:val="en-US"/>
        </w:rPr>
      </w:pPr>
      <w:bookmarkStart w:id="110" w:name="_Toc118716003"/>
      <w:r>
        <w:rPr>
          <w:rFonts w:asciiTheme="minorHAnsi" w:hAnsiTheme="minorHAnsi" w:cstheme="minorHAnsi"/>
          <w:sz w:val="20"/>
          <w:szCs w:val="20"/>
          <w:lang w:val="en-US"/>
        </w:rPr>
        <w:t>Pekerja Di Sektor Informal</w:t>
      </w:r>
      <w:bookmarkEnd w:id="110"/>
    </w:p>
    <w:p>
      <w:pPr>
        <w:spacing w:line="360" w:lineRule="auto"/>
        <w:ind w:left="284" w:firstLine="436"/>
        <w:jc w:val="both"/>
        <w:rPr>
          <w:sz w:val="20"/>
          <w:szCs w:val="20"/>
        </w:rPr>
      </w:pPr>
      <w:r>
        <w:rPr>
          <w:sz w:val="20"/>
          <w:szCs w:val="20"/>
        </w:rPr>
        <w:t>Pekerja sektor informal didefinisikan sebagai tenaga kerja yang berstatus pekerjaan berusaha sendiri; berusaha dibantu buruh tidak tetap/tidak dibayar; pekerja bebas dan pekerja keluarga atau tidak dibayar. Dalam perkembangannya, pekerja sektor informal ini dibedakan menurut jenis kelamin untuk mengetahui kontribusi pekerja perempuan dalam pekerjaan sektor informal.</w:t>
      </w:r>
    </w:p>
    <w:p>
      <w:pPr>
        <w:pStyle w:val="Caption"/>
        <w:ind w:left="1418" w:hanging="1134"/>
        <w:jc w:val="both"/>
        <w:rPr>
          <w:rFonts w:cstheme="minorHAnsi"/>
          <w:b/>
          <w:bCs/>
          <w:i w:val="0"/>
          <w:iCs w:val="0"/>
          <w:color w:val="auto"/>
          <w:sz w:val="20"/>
          <w:szCs w:val="20"/>
          <w:lang w:eastAsia="id-ID"/>
        </w:rPr>
      </w:pPr>
      <w:bookmarkStart w:id="111" w:name="_Toc117519629"/>
      <w:r>
        <w:rPr>
          <w:noProof/>
          <w:lang w:val="en-ID" w:eastAsia="en-ID"/>
        </w:rPr>
        <w:drawing>
          <wp:anchor distT="0" distB="0" distL="114300" distR="114300" simplePos="0" relativeHeight="251655168" behindDoc="0" locked="0" layoutInCell="1" allowOverlap="1">
            <wp:simplePos x="0" y="0"/>
            <wp:positionH relativeFrom="column">
              <wp:posOffset>194310</wp:posOffset>
            </wp:positionH>
            <wp:positionV relativeFrom="paragraph">
              <wp:posOffset>325120</wp:posOffset>
            </wp:positionV>
            <wp:extent cx="3508763" cy="2197290"/>
            <wp:effectExtent l="0" t="0" r="0" b="0"/>
            <wp:wrapNone/>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8D1BD7-B073-0BB8-238B-C535C1DA8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b/>
          <w:bCs/>
          <w:i w:val="0"/>
          <w:iCs w:val="0"/>
          <w:color w:val="auto"/>
          <w:sz w:val="20"/>
          <w:szCs w:val="20"/>
        </w:rPr>
        <w:t xml:space="preserve">Gambar 7. </w:t>
      </w:r>
      <w:r>
        <w:rPr>
          <w:b/>
          <w:bCs/>
          <w:i w:val="0"/>
          <w:iCs w:val="0"/>
          <w:color w:val="auto"/>
          <w:sz w:val="20"/>
          <w:szCs w:val="20"/>
        </w:rPr>
        <w:fldChar w:fldCharType="begin"/>
      </w:r>
      <w:r>
        <w:rPr>
          <w:b/>
          <w:bCs/>
          <w:i w:val="0"/>
          <w:iCs w:val="0"/>
          <w:color w:val="auto"/>
          <w:sz w:val="20"/>
          <w:szCs w:val="20"/>
        </w:rPr>
        <w:instrText xml:space="preserve"> SEQ Gambar_7. \* ARABIC </w:instrText>
      </w:r>
      <w:r>
        <w:rPr>
          <w:b/>
          <w:bCs/>
          <w:i w:val="0"/>
          <w:iCs w:val="0"/>
          <w:color w:val="auto"/>
          <w:sz w:val="20"/>
          <w:szCs w:val="20"/>
        </w:rPr>
        <w:fldChar w:fldCharType="separate"/>
      </w:r>
      <w:r>
        <w:rPr>
          <w:b/>
          <w:bCs/>
          <w:i w:val="0"/>
          <w:iCs w:val="0"/>
          <w:noProof/>
          <w:color w:val="auto"/>
          <w:sz w:val="20"/>
          <w:szCs w:val="20"/>
        </w:rPr>
        <w:t>2</w:t>
      </w:r>
      <w:r>
        <w:rPr>
          <w:b/>
          <w:bCs/>
          <w:i w:val="0"/>
          <w:iCs w:val="0"/>
          <w:color w:val="auto"/>
          <w:sz w:val="20"/>
          <w:szCs w:val="20"/>
        </w:rPr>
        <w:fldChar w:fldCharType="end"/>
      </w:r>
      <w:r>
        <w:rPr>
          <w:b/>
          <w:bCs/>
          <w:i w:val="0"/>
          <w:iCs w:val="0"/>
          <w:color w:val="auto"/>
          <w:sz w:val="20"/>
          <w:szCs w:val="20"/>
        </w:rPr>
        <w:tab/>
      </w:r>
      <w:r>
        <w:rPr>
          <w:b/>
          <w:bCs/>
          <w:i w:val="0"/>
          <w:iCs w:val="0"/>
          <w:color w:val="000000" w:themeColor="text1"/>
          <w:sz w:val="20"/>
          <w:szCs w:val="20"/>
        </w:rPr>
        <w:t>Persentase Pekerja Informal menurut jenis kelamin, 2020-2021</w:t>
      </w:r>
      <w:bookmarkEnd w:id="111"/>
    </w:p>
    <w:p>
      <w:pPr>
        <w:tabs>
          <w:tab w:val="left" w:pos="1134"/>
        </w:tabs>
        <w:spacing w:after="0"/>
        <w:ind w:left="1134" w:hanging="1134"/>
        <w:jc w:val="both"/>
        <w:rPr>
          <w:rFonts w:cstheme="minorHAnsi"/>
          <w:lang w:eastAsia="id-ID"/>
        </w:rPr>
      </w:pPr>
    </w:p>
    <w:p>
      <w:pPr>
        <w:jc w:val="both"/>
        <w:rPr>
          <w:rFonts w:cstheme="minorHAnsi"/>
          <w:i/>
          <w:color w:val="000000" w:themeColor="text1"/>
          <w:sz w:val="18"/>
          <w:szCs w:val="18"/>
        </w:rPr>
      </w:pPr>
    </w:p>
    <w:p>
      <w:pPr>
        <w:jc w:val="both"/>
        <w:rPr>
          <w:rFonts w:cstheme="minorHAnsi"/>
          <w:i/>
          <w:color w:val="000000" w:themeColor="text1"/>
          <w:sz w:val="18"/>
          <w:szCs w:val="18"/>
        </w:rPr>
      </w:pPr>
    </w:p>
    <w:p>
      <w:pPr>
        <w:jc w:val="both"/>
        <w:rPr>
          <w:rFonts w:cstheme="minorHAnsi"/>
          <w:i/>
          <w:color w:val="000000" w:themeColor="text1"/>
          <w:sz w:val="18"/>
          <w:szCs w:val="18"/>
        </w:rPr>
      </w:pPr>
    </w:p>
    <w:p>
      <w:pPr>
        <w:jc w:val="both"/>
        <w:rPr>
          <w:rFonts w:cstheme="minorHAnsi"/>
          <w:i/>
          <w:color w:val="000000" w:themeColor="text1"/>
          <w:sz w:val="18"/>
          <w:szCs w:val="18"/>
        </w:rPr>
      </w:pPr>
    </w:p>
    <w:p>
      <w:pPr>
        <w:jc w:val="both"/>
        <w:rPr>
          <w:rFonts w:cstheme="minorHAnsi"/>
          <w:i/>
          <w:color w:val="000000" w:themeColor="text1"/>
          <w:sz w:val="18"/>
          <w:szCs w:val="18"/>
        </w:rPr>
      </w:pPr>
    </w:p>
    <w:p>
      <w:pPr>
        <w:jc w:val="both"/>
        <w:rPr>
          <w:rFonts w:cstheme="minorHAnsi"/>
          <w:i/>
          <w:color w:val="000000" w:themeColor="text1"/>
          <w:sz w:val="18"/>
          <w:szCs w:val="18"/>
        </w:rPr>
      </w:pPr>
    </w:p>
    <w:p>
      <w:pPr>
        <w:jc w:val="both"/>
        <w:rPr>
          <w:rFonts w:cstheme="minorHAnsi"/>
          <w:i/>
          <w:color w:val="000000" w:themeColor="text1"/>
          <w:sz w:val="18"/>
          <w:szCs w:val="18"/>
        </w:rPr>
      </w:pPr>
    </w:p>
    <w:p>
      <w:pPr>
        <w:ind w:left="284"/>
        <w:jc w:val="both"/>
        <w:rPr>
          <w:rFonts w:cstheme="minorHAnsi"/>
          <w:i/>
          <w:color w:val="000000" w:themeColor="text1"/>
          <w:sz w:val="18"/>
          <w:szCs w:val="18"/>
        </w:rPr>
      </w:pPr>
      <w:r>
        <w:rPr>
          <w:rFonts w:cstheme="minorHAnsi"/>
          <w:i/>
          <w:color w:val="000000" w:themeColor="text1"/>
          <w:sz w:val="18"/>
          <w:szCs w:val="18"/>
        </w:rPr>
        <w:t xml:space="preserve"> Sumber : BPS, Sakernas Agustus 2020 - 2021</w:t>
      </w:r>
    </w:p>
    <w:p>
      <w:pPr>
        <w:spacing w:line="360" w:lineRule="auto"/>
        <w:ind w:left="284" w:firstLine="567"/>
        <w:jc w:val="both"/>
        <w:rPr>
          <w:sz w:val="20"/>
          <w:szCs w:val="20"/>
        </w:rPr>
      </w:pPr>
      <w:r>
        <w:rPr>
          <w:sz w:val="20"/>
          <w:szCs w:val="20"/>
        </w:rPr>
        <w:lastRenderedPageBreak/>
        <w:t xml:space="preserve">Gambar 7.2. menunjukkan bahwa dari seluruh pekerja informal, pekerja laki-laki lebih mendominasi dibandingkan perempuan. Dalam dua tahun terakhir (2020-2021), perbandingan proporsi pekerja laki-laki dan perempuan tidak mengalami perubahan bahkan cenderung stabil. Di tahun 2021 terjadi sedikit penurunan proporsi pekerja informal laki-laki yang secara otomatis menambah proporsi pekerja informal perempuan sebanyak 0,5 persen poin (60,24 persen pekerja informal laki-laki dan 39,76 persen pekerja informal perempuan di tahun 2021). </w:t>
      </w:r>
    </w:p>
    <w:p>
      <w:pPr>
        <w:pStyle w:val="Caption"/>
        <w:ind w:left="1418" w:hanging="1134"/>
        <w:jc w:val="both"/>
        <w:rPr>
          <w:rFonts w:cstheme="minorHAnsi"/>
          <w:b/>
          <w:bCs/>
          <w:i w:val="0"/>
          <w:iCs w:val="0"/>
          <w:color w:val="auto"/>
          <w:sz w:val="20"/>
          <w:szCs w:val="20"/>
          <w:lang w:eastAsia="id-ID"/>
        </w:rPr>
      </w:pPr>
      <w:bookmarkStart w:id="112" w:name="_Toc117519550"/>
      <w:r>
        <w:rPr>
          <w:b/>
          <w:bCs/>
          <w:i w:val="0"/>
          <w:iCs w:val="0"/>
          <w:color w:val="auto"/>
          <w:sz w:val="20"/>
          <w:szCs w:val="20"/>
        </w:rPr>
        <w:t xml:space="preserve">Tabel 7. </w:t>
      </w:r>
      <w:r>
        <w:rPr>
          <w:b/>
          <w:bCs/>
          <w:i w:val="0"/>
          <w:iCs w:val="0"/>
          <w:color w:val="auto"/>
          <w:sz w:val="20"/>
          <w:szCs w:val="20"/>
        </w:rPr>
        <w:fldChar w:fldCharType="begin"/>
      </w:r>
      <w:r>
        <w:rPr>
          <w:b/>
          <w:bCs/>
          <w:i w:val="0"/>
          <w:iCs w:val="0"/>
          <w:color w:val="auto"/>
          <w:sz w:val="20"/>
          <w:szCs w:val="20"/>
        </w:rPr>
        <w:instrText xml:space="preserve"> SEQ Tabel_7. \* ARABIC </w:instrText>
      </w:r>
      <w:r>
        <w:rPr>
          <w:b/>
          <w:bCs/>
          <w:i w:val="0"/>
          <w:iCs w:val="0"/>
          <w:color w:val="auto"/>
          <w:sz w:val="20"/>
          <w:szCs w:val="20"/>
        </w:rPr>
        <w:fldChar w:fldCharType="separate"/>
      </w:r>
      <w:r>
        <w:rPr>
          <w:b/>
          <w:bCs/>
          <w:i w:val="0"/>
          <w:iCs w:val="0"/>
          <w:noProof/>
          <w:color w:val="auto"/>
          <w:sz w:val="20"/>
          <w:szCs w:val="20"/>
        </w:rPr>
        <w:t>4</w:t>
      </w:r>
      <w:r>
        <w:rPr>
          <w:b/>
          <w:bCs/>
          <w:i w:val="0"/>
          <w:iCs w:val="0"/>
          <w:color w:val="auto"/>
          <w:sz w:val="20"/>
          <w:szCs w:val="20"/>
        </w:rPr>
        <w:fldChar w:fldCharType="end"/>
      </w:r>
      <w:r>
        <w:rPr>
          <w:b/>
          <w:bCs/>
          <w:i w:val="0"/>
          <w:iCs w:val="0"/>
          <w:color w:val="auto"/>
          <w:sz w:val="20"/>
          <w:szCs w:val="20"/>
        </w:rPr>
        <w:tab/>
        <w:t>Jumlah Pekerja Informal Menurut Jenis Kelamin dan Kabupaten/ Kota, 2020-2021</w:t>
      </w:r>
      <w:bookmarkEnd w:id="112"/>
    </w:p>
    <w:tbl>
      <w:tblPr>
        <w:tblStyle w:val="TableGrid"/>
        <w:tblpPr w:leftFromText="180" w:rightFromText="180" w:vertAnchor="text" w:tblpX="392" w:tblpY="1"/>
        <w:tblW w:w="5790" w:type="dxa"/>
        <w:tblLayout w:type="fixed"/>
        <w:tblLook w:val="04A0" w:firstRow="1" w:lastRow="0" w:firstColumn="1" w:lastColumn="0" w:noHBand="0" w:noVBand="1"/>
      </w:tblPr>
      <w:tblGrid>
        <w:gridCol w:w="2007"/>
        <w:gridCol w:w="945"/>
        <w:gridCol w:w="947"/>
        <w:gridCol w:w="945"/>
        <w:gridCol w:w="946"/>
      </w:tblGrid>
      <w:tr>
        <w:trPr>
          <w:trHeight w:val="370"/>
        </w:trPr>
        <w:tc>
          <w:tcPr>
            <w:tcW w:w="2007"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Kabupaten/Kota</w:t>
            </w:r>
          </w:p>
        </w:tc>
        <w:tc>
          <w:tcPr>
            <w:tcW w:w="1892"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Laki-laki</w:t>
            </w:r>
          </w:p>
        </w:tc>
        <w:tc>
          <w:tcPr>
            <w:tcW w:w="1891"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Perempuan</w:t>
            </w:r>
          </w:p>
        </w:tc>
      </w:tr>
      <w:tr>
        <w:trPr>
          <w:trHeight w:val="370"/>
        </w:trPr>
        <w:tc>
          <w:tcPr>
            <w:tcW w:w="2007"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lang w:val="en-US"/>
              </w:rPr>
            </w:pPr>
          </w:p>
        </w:tc>
        <w:tc>
          <w:tcPr>
            <w:tcW w:w="94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2020</w:t>
            </w:r>
          </w:p>
        </w:tc>
        <w:tc>
          <w:tcPr>
            <w:tcW w:w="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2021</w:t>
            </w:r>
          </w:p>
        </w:tc>
        <w:tc>
          <w:tcPr>
            <w:tcW w:w="94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2020</w:t>
            </w:r>
          </w:p>
        </w:tc>
        <w:tc>
          <w:tcPr>
            <w:tcW w:w="9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2021</w:t>
            </w:r>
          </w:p>
        </w:tc>
      </w:tr>
      <w:tr>
        <w:trPr>
          <w:trHeight w:val="205"/>
        </w:trPr>
        <w:tc>
          <w:tcPr>
            <w:tcW w:w="200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(1)</w:t>
            </w:r>
          </w:p>
        </w:tc>
        <w:tc>
          <w:tcPr>
            <w:tcW w:w="94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w:t>
            </w:r>
          </w:p>
        </w:tc>
        <w:tc>
          <w:tcPr>
            <w:tcW w:w="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(3)</w:t>
            </w:r>
          </w:p>
        </w:tc>
        <w:tc>
          <w:tcPr>
            <w:tcW w:w="94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(5)</w:t>
            </w:r>
          </w:p>
        </w:tc>
        <w:tc>
          <w:tcPr>
            <w:tcW w:w="9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(6)</w:t>
            </w:r>
          </w:p>
        </w:tc>
      </w:tr>
      <w:tr>
        <w:trPr>
          <w:trHeight w:val="315"/>
        </w:trPr>
        <w:tc>
          <w:tcPr>
            <w:tcW w:w="2007"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color w:val="000000"/>
                <w:sz w:val="18"/>
                <w:szCs w:val="18"/>
              </w:rPr>
            </w:pPr>
            <w:r>
              <w:rPr>
                <w:rFonts w:cstheme="minorHAnsi"/>
                <w:color w:val="000000"/>
                <w:sz w:val="18"/>
                <w:szCs w:val="18"/>
              </w:rPr>
              <w:t>Kotawaringin Barat</w:t>
            </w:r>
          </w:p>
        </w:tc>
        <w:tc>
          <w:tcPr>
            <w:tcW w:w="945"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46.578</w:t>
            </w:r>
          </w:p>
        </w:tc>
        <w:tc>
          <w:tcPr>
            <w:tcW w:w="947"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46.169</w:t>
            </w:r>
          </w:p>
        </w:tc>
        <w:tc>
          <w:tcPr>
            <w:tcW w:w="945"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32.451</w:t>
            </w:r>
          </w:p>
        </w:tc>
        <w:tc>
          <w:tcPr>
            <w:tcW w:w="946" w:type="dxa"/>
            <w:tcBorders>
              <w:top w:val="single" w:sz="4" w:space="0" w:color="F2F2F2" w:themeColor="background1" w:themeShade="F2"/>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33.013</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color w:val="000000"/>
                <w:sz w:val="18"/>
                <w:szCs w:val="18"/>
              </w:rPr>
            </w:pPr>
            <w:r>
              <w:rPr>
                <w:rFonts w:cstheme="minorHAnsi"/>
                <w:color w:val="000000"/>
                <w:sz w:val="18"/>
                <w:szCs w:val="18"/>
              </w:rPr>
              <w:t>Kotawaringin Timur</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71.806</w:t>
            </w:r>
          </w:p>
        </w:tc>
        <w:tc>
          <w:tcPr>
            <w:tcW w:w="9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72.880</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44.214</w:t>
            </w:r>
          </w:p>
        </w:tc>
        <w:tc>
          <w:tcPr>
            <w:tcW w:w="9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43.482</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color w:val="000000"/>
                <w:sz w:val="18"/>
                <w:szCs w:val="18"/>
              </w:rPr>
            </w:pPr>
            <w:r>
              <w:rPr>
                <w:rFonts w:cstheme="minorHAnsi"/>
                <w:color w:val="000000"/>
                <w:sz w:val="18"/>
                <w:szCs w:val="18"/>
              </w:rPr>
              <w:t>Kapuas</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76.859</w:t>
            </w:r>
          </w:p>
        </w:tc>
        <w:tc>
          <w:tcPr>
            <w:tcW w:w="9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78.619</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49.580</w:t>
            </w:r>
          </w:p>
        </w:tc>
        <w:tc>
          <w:tcPr>
            <w:tcW w:w="9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49.205</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color w:val="000000"/>
                <w:sz w:val="18"/>
                <w:szCs w:val="18"/>
              </w:rPr>
            </w:pPr>
            <w:r>
              <w:rPr>
                <w:rFonts w:cstheme="minorHAnsi"/>
                <w:color w:val="000000"/>
                <w:sz w:val="18"/>
                <w:szCs w:val="18"/>
              </w:rPr>
              <w:t>Barsel</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23.448</w:t>
            </w:r>
          </w:p>
        </w:tc>
        <w:tc>
          <w:tcPr>
            <w:tcW w:w="9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23.640</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15.118</w:t>
            </w:r>
          </w:p>
        </w:tc>
        <w:tc>
          <w:tcPr>
            <w:tcW w:w="9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12.936</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color w:val="000000"/>
                <w:sz w:val="18"/>
                <w:szCs w:val="18"/>
              </w:rPr>
            </w:pPr>
            <w:r>
              <w:rPr>
                <w:rFonts w:cstheme="minorHAnsi"/>
                <w:color w:val="000000"/>
                <w:sz w:val="18"/>
                <w:szCs w:val="18"/>
              </w:rPr>
              <w:t>Barito Utara</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22.906</w:t>
            </w:r>
          </w:p>
        </w:tc>
        <w:tc>
          <w:tcPr>
            <w:tcW w:w="9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22.116</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16.407</w:t>
            </w:r>
          </w:p>
        </w:tc>
        <w:tc>
          <w:tcPr>
            <w:tcW w:w="9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15.609</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color w:val="000000"/>
                <w:sz w:val="18"/>
                <w:szCs w:val="18"/>
              </w:rPr>
            </w:pPr>
            <w:r>
              <w:rPr>
                <w:rFonts w:cstheme="minorHAnsi"/>
                <w:color w:val="000000"/>
                <w:sz w:val="18"/>
                <w:szCs w:val="18"/>
              </w:rPr>
              <w:t>Sukamara</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8.735</w:t>
            </w:r>
          </w:p>
        </w:tc>
        <w:tc>
          <w:tcPr>
            <w:tcW w:w="9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8.328</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5.068</w:t>
            </w:r>
          </w:p>
        </w:tc>
        <w:tc>
          <w:tcPr>
            <w:tcW w:w="9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6.087</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color w:val="000000"/>
                <w:sz w:val="18"/>
                <w:szCs w:val="18"/>
              </w:rPr>
            </w:pPr>
            <w:r>
              <w:rPr>
                <w:rFonts w:cstheme="minorHAnsi"/>
                <w:color w:val="000000"/>
                <w:sz w:val="18"/>
                <w:szCs w:val="18"/>
              </w:rPr>
              <w:t>Lamandau</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15.745</w:t>
            </w:r>
          </w:p>
        </w:tc>
        <w:tc>
          <w:tcPr>
            <w:tcW w:w="9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16.726</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7.357</w:t>
            </w:r>
          </w:p>
        </w:tc>
        <w:tc>
          <w:tcPr>
            <w:tcW w:w="9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7.702</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color w:val="000000"/>
                <w:sz w:val="18"/>
                <w:szCs w:val="18"/>
              </w:rPr>
            </w:pPr>
            <w:r>
              <w:rPr>
                <w:rFonts w:cstheme="minorHAnsi"/>
                <w:color w:val="000000"/>
                <w:sz w:val="18"/>
                <w:szCs w:val="18"/>
              </w:rPr>
              <w:t>Seruyan</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24.940</w:t>
            </w:r>
          </w:p>
        </w:tc>
        <w:tc>
          <w:tcPr>
            <w:tcW w:w="9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27.566</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11.639</w:t>
            </w:r>
          </w:p>
        </w:tc>
        <w:tc>
          <w:tcPr>
            <w:tcW w:w="9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14.996</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color w:val="000000"/>
                <w:sz w:val="18"/>
                <w:szCs w:val="18"/>
              </w:rPr>
            </w:pPr>
            <w:r>
              <w:rPr>
                <w:rFonts w:cstheme="minorHAnsi"/>
                <w:color w:val="000000"/>
                <w:sz w:val="18"/>
                <w:szCs w:val="18"/>
              </w:rPr>
              <w:t>Katingan</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26.468</w:t>
            </w:r>
          </w:p>
        </w:tc>
        <w:tc>
          <w:tcPr>
            <w:tcW w:w="9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27.854</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19.097</w:t>
            </w:r>
          </w:p>
        </w:tc>
        <w:tc>
          <w:tcPr>
            <w:tcW w:w="9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17.419</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color w:val="000000"/>
                <w:sz w:val="18"/>
                <w:szCs w:val="18"/>
              </w:rPr>
            </w:pPr>
            <w:r>
              <w:rPr>
                <w:rFonts w:cstheme="minorHAnsi"/>
                <w:color w:val="000000"/>
                <w:sz w:val="18"/>
                <w:szCs w:val="18"/>
              </w:rPr>
              <w:t>Pulang Pisau</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30.137</w:t>
            </w:r>
          </w:p>
        </w:tc>
        <w:tc>
          <w:tcPr>
            <w:tcW w:w="9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27.472</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20.342</w:t>
            </w:r>
          </w:p>
        </w:tc>
        <w:tc>
          <w:tcPr>
            <w:tcW w:w="9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21.248</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color w:val="000000"/>
                <w:sz w:val="18"/>
                <w:szCs w:val="18"/>
              </w:rPr>
            </w:pPr>
            <w:r>
              <w:rPr>
                <w:rFonts w:cstheme="minorHAnsi"/>
                <w:color w:val="000000"/>
                <w:sz w:val="18"/>
                <w:szCs w:val="18"/>
              </w:rPr>
              <w:t>Gumas</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16.687</w:t>
            </w:r>
          </w:p>
        </w:tc>
        <w:tc>
          <w:tcPr>
            <w:tcW w:w="9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15.280</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13.142</w:t>
            </w:r>
          </w:p>
        </w:tc>
        <w:tc>
          <w:tcPr>
            <w:tcW w:w="9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12.174</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color w:val="000000"/>
                <w:sz w:val="18"/>
                <w:szCs w:val="18"/>
              </w:rPr>
            </w:pPr>
            <w:r>
              <w:rPr>
                <w:rFonts w:cstheme="minorHAnsi"/>
                <w:color w:val="000000"/>
                <w:sz w:val="18"/>
                <w:szCs w:val="18"/>
              </w:rPr>
              <w:t>Barito Timur</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26.862</w:t>
            </w:r>
          </w:p>
        </w:tc>
        <w:tc>
          <w:tcPr>
            <w:tcW w:w="9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26.823</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22.678</w:t>
            </w:r>
          </w:p>
        </w:tc>
        <w:tc>
          <w:tcPr>
            <w:tcW w:w="9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24.431</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color w:val="000000"/>
                <w:sz w:val="18"/>
                <w:szCs w:val="18"/>
              </w:rPr>
            </w:pPr>
            <w:r>
              <w:rPr>
                <w:rFonts w:cstheme="minorHAnsi"/>
                <w:color w:val="000000"/>
                <w:sz w:val="18"/>
                <w:szCs w:val="18"/>
              </w:rPr>
              <w:lastRenderedPageBreak/>
              <w:t>Mura</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20.107</w:t>
            </w:r>
          </w:p>
        </w:tc>
        <w:tc>
          <w:tcPr>
            <w:tcW w:w="9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20.908</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10.702</w:t>
            </w:r>
          </w:p>
        </w:tc>
        <w:tc>
          <w:tcPr>
            <w:tcW w:w="9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12.744</w:t>
            </w:r>
          </w:p>
        </w:tc>
      </w:tr>
      <w:tr>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color w:val="000000"/>
                <w:sz w:val="18"/>
                <w:szCs w:val="18"/>
              </w:rPr>
            </w:pPr>
            <w:r>
              <w:rPr>
                <w:rFonts w:cstheme="minorHAnsi"/>
                <w:color w:val="000000"/>
                <w:sz w:val="18"/>
                <w:szCs w:val="18"/>
              </w:rPr>
              <w:t>Palangka Raya</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32.170</w:t>
            </w:r>
          </w:p>
        </w:tc>
        <w:tc>
          <w:tcPr>
            <w:tcW w:w="9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35.810</w:t>
            </w:r>
          </w:p>
        </w:tc>
        <w:tc>
          <w:tcPr>
            <w:tcW w:w="94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24.238</w:t>
            </w:r>
          </w:p>
        </w:tc>
        <w:tc>
          <w:tcPr>
            <w:tcW w:w="9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color w:val="000000"/>
                <w:sz w:val="18"/>
                <w:szCs w:val="18"/>
              </w:rPr>
              <w:t>26.031</w:t>
            </w:r>
          </w:p>
        </w:tc>
      </w:tr>
      <w:tr>
        <w:trPr>
          <w:trHeight w:val="370"/>
        </w:trPr>
        <w:tc>
          <w:tcPr>
            <w:tcW w:w="200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bCs/>
                <w:color w:val="000000"/>
                <w:sz w:val="18"/>
                <w:szCs w:val="18"/>
              </w:rPr>
            </w:pPr>
            <w:r>
              <w:rPr>
                <w:rFonts w:cstheme="minorHAnsi"/>
                <w:bCs/>
                <w:color w:val="000000"/>
                <w:sz w:val="18"/>
                <w:szCs w:val="18"/>
              </w:rPr>
              <w:t>Kalimantan Tengah</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443.448</w:t>
            </w:r>
          </w:p>
        </w:tc>
        <w:tc>
          <w:tcPr>
            <w:tcW w:w="9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450.191</w:t>
            </w:r>
          </w:p>
        </w:tc>
        <w:tc>
          <w:tcPr>
            <w:tcW w:w="9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292.033</w:t>
            </w:r>
          </w:p>
        </w:tc>
        <w:tc>
          <w:tcPr>
            <w:tcW w:w="9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color w:val="000000"/>
                <w:sz w:val="18"/>
                <w:szCs w:val="18"/>
              </w:rPr>
              <w:t>297.077</w:t>
            </w:r>
          </w:p>
        </w:tc>
      </w:tr>
    </w:tbl>
    <w:p>
      <w:pPr>
        <w:tabs>
          <w:tab w:val="left" w:pos="1134"/>
        </w:tabs>
        <w:spacing w:after="0"/>
        <w:ind w:left="284"/>
        <w:jc w:val="both"/>
        <w:rPr>
          <w:rFonts w:cstheme="minorHAnsi"/>
          <w:sz w:val="18"/>
          <w:szCs w:val="18"/>
          <w:lang w:eastAsia="id-ID"/>
        </w:rPr>
      </w:pPr>
      <w:r>
        <w:rPr>
          <w:i/>
          <w:color w:val="000000" w:themeColor="text1"/>
          <w:sz w:val="18"/>
          <w:szCs w:val="18"/>
        </w:rPr>
        <w:t>Sumber: BPS, Sakernas Agustus 2020-2021</w:t>
      </w:r>
    </w:p>
    <w:p>
      <w:pPr>
        <w:pStyle w:val="BodyTextIndent2"/>
        <w:spacing w:before="240" w:after="0" w:line="360" w:lineRule="auto"/>
        <w:ind w:left="284" w:firstLine="567"/>
        <w:jc w:val="both"/>
        <w:rPr>
          <w:rFonts w:asciiTheme="minorHAnsi" w:hAnsiTheme="minorHAnsi"/>
          <w:sz w:val="20"/>
          <w:szCs w:val="20"/>
        </w:rPr>
      </w:pPr>
      <w:r>
        <w:rPr>
          <w:rFonts w:asciiTheme="minorHAnsi" w:hAnsiTheme="minorHAnsi"/>
          <w:sz w:val="20"/>
          <w:szCs w:val="20"/>
        </w:rPr>
        <w:t>Tabel 7.4, memberikan gambaran tentang perkembangan jumlah pekerja informal menurut kabupaten berdasar data terpilah gender. Pada periode 2020-2021, Kabupaten Barito Utara dan Gunung Mas mengalami penurunan jumlah pekerja informal baik laki-laki maupun perempuan. Peningkatan pekerja informal laki-laki terbesar terjadi di Kota Palangka Raya (11,31 persen), yaitu dari 32.170 orang di tahun 2020 menjadi 35.810 orang di tahun 2021. Sebaliknya, Kabupaten Pulang Pisau mengalami penurunan terbesar pada jumlah pekerja informal laki-laki, yaitu mencapai 8,84 persen dari 30.137 orang di tahun 2020 menjadi 27.472 orang di tahun 2021.</w:t>
      </w:r>
    </w:p>
    <w:p>
      <w:pPr>
        <w:pStyle w:val="BodyTextIndent2"/>
        <w:tabs>
          <w:tab w:val="left" w:pos="8550"/>
        </w:tabs>
        <w:spacing w:after="0" w:line="360" w:lineRule="auto"/>
        <w:ind w:left="284" w:firstLine="567"/>
        <w:jc w:val="both"/>
        <w:rPr>
          <w:rFonts w:asciiTheme="minorHAnsi" w:hAnsiTheme="minorHAnsi"/>
          <w:sz w:val="20"/>
          <w:szCs w:val="20"/>
        </w:rPr>
      </w:pPr>
      <w:r>
        <w:rPr>
          <w:rFonts w:asciiTheme="minorHAnsi" w:hAnsiTheme="minorHAnsi"/>
          <w:sz w:val="20"/>
          <w:szCs w:val="20"/>
        </w:rPr>
        <w:t>Pada pekerja informal perempuan, peningkatan tertinggi terjadi di Kabupaten Seruyan yang mencapai 28,84 persen dari 11.639 orang di tahun 2020 menjadi 14.996 orang di tahun 2021. Sebaliknya, terjadi penurunan pekerja informal perempuan terbesar di Kabupaten Barito Selatan yang mencapai 14,43 persen (dari 15.118 orang tahun 2020 menjadi 12.936 orang di tahun 2021). Selain itu, Kabupaten Kotawaringin Timur, Kapuas, dan Katingan juga mengalami penurunan pekerja informal perempuan.</w:t>
      </w:r>
    </w:p>
    <w:p>
      <w:pPr>
        <w:pStyle w:val="BodyTextIndent2"/>
        <w:tabs>
          <w:tab w:val="left" w:pos="8550"/>
        </w:tabs>
        <w:spacing w:after="0" w:line="360" w:lineRule="auto"/>
        <w:ind w:left="0" w:firstLine="709"/>
        <w:jc w:val="both"/>
        <w:rPr>
          <w:rFonts w:asciiTheme="minorHAnsi" w:hAnsiTheme="minorHAnsi"/>
          <w:sz w:val="20"/>
          <w:szCs w:val="20"/>
        </w:rPr>
      </w:pPr>
    </w:p>
    <w:p>
      <w:pPr>
        <w:pStyle w:val="Heading2"/>
        <w:numPr>
          <w:ilvl w:val="1"/>
          <w:numId w:val="21"/>
        </w:numPr>
        <w:ind w:left="709" w:hanging="425"/>
        <w:jc w:val="both"/>
        <w:rPr>
          <w:sz w:val="20"/>
          <w:szCs w:val="20"/>
          <w:lang w:val="en-US"/>
        </w:rPr>
      </w:pPr>
      <w:bookmarkStart w:id="113" w:name="_Toc118716004"/>
      <w:r>
        <w:rPr>
          <w:sz w:val="20"/>
          <w:szCs w:val="20"/>
          <w:lang w:val="en-US"/>
        </w:rPr>
        <w:t>Pekerja Tak Dibayar</w:t>
      </w:r>
      <w:bookmarkEnd w:id="113"/>
    </w:p>
    <w:p>
      <w:pPr>
        <w:spacing w:after="0" w:line="360" w:lineRule="auto"/>
        <w:ind w:left="284" w:firstLine="567"/>
        <w:jc w:val="both"/>
        <w:rPr>
          <w:sz w:val="20"/>
          <w:szCs w:val="20"/>
        </w:rPr>
      </w:pPr>
      <w:r>
        <w:rPr>
          <w:sz w:val="20"/>
          <w:szCs w:val="20"/>
          <w:lang w:val="en-US"/>
        </w:rPr>
        <w:tab/>
      </w:r>
      <w:r>
        <w:rPr>
          <w:sz w:val="20"/>
          <w:szCs w:val="20"/>
        </w:rPr>
        <w:t xml:space="preserve">Di negara berkembang, fenomena keberadaan pekerja tak dibayar atau pekerja keluarga tidak dapat dihindari. Peran pekerja tak </w:t>
      </w:r>
      <w:r>
        <w:rPr>
          <w:sz w:val="20"/>
          <w:szCs w:val="20"/>
        </w:rPr>
        <w:lastRenderedPageBreak/>
        <w:t>dibayar atau pekerja keluarga dalam kegiatan ekonomi cukup membantu. Sebagai contoh seorang istri yang membantu usaha suaminya atau seorang anak yang membantu pekerjaan atau usaha orang tua untuk menambah penghasilan. Termasuk di daerah Kalimantan Tengah, tidak sedikit wanita membantu suaminya untuk berladang atau berkebun dan anak-anak yang membantu menyadap karet atau menjaga warung/toko ketika pulang sekolah atau libur.</w:t>
      </w:r>
    </w:p>
    <w:p>
      <w:pPr>
        <w:spacing w:after="0" w:line="360" w:lineRule="auto"/>
        <w:ind w:left="284" w:firstLine="567"/>
        <w:jc w:val="both"/>
        <w:rPr>
          <w:color w:val="000000" w:themeColor="text1"/>
          <w:sz w:val="20"/>
          <w:szCs w:val="20"/>
        </w:rPr>
      </w:pPr>
      <w:r>
        <w:rPr>
          <w:color w:val="000000" w:themeColor="text1"/>
          <w:sz w:val="20"/>
          <w:szCs w:val="20"/>
        </w:rPr>
        <w:t>Perkembangan jumlah pekerja tak dibayar atau pekerja keluarga di Provinsi Kalimantan Tengah pada periode dua tahun terakhir secara proporsi mengalami sedikit perubahan. Dilihat dari jenis kelaminnya, proporsi pekerja keluarga/ tidak dibayar laki-laki turun sebesar 0,44 persen poin yang otomatis menambah nilai yang sama untuk proporsi pekerja keluarga/tidak dibayar perempuan. Pada tahun 20</w:t>
      </w:r>
      <w:r>
        <w:rPr>
          <w:color w:val="000000" w:themeColor="text1"/>
          <w:sz w:val="20"/>
          <w:szCs w:val="20"/>
          <w:lang w:val="en-ID"/>
        </w:rPr>
        <w:t>20</w:t>
      </w:r>
      <w:r>
        <w:rPr>
          <w:color w:val="000000" w:themeColor="text1"/>
          <w:sz w:val="20"/>
          <w:szCs w:val="20"/>
        </w:rPr>
        <w:t xml:space="preserve"> jumlah pekerja tak dibayar laki-laki sebanyak </w:t>
      </w:r>
      <w:r>
        <w:rPr>
          <w:color w:val="000000" w:themeColor="text1"/>
          <w:sz w:val="20"/>
          <w:szCs w:val="20"/>
          <w:lang w:val="en-ID"/>
        </w:rPr>
        <w:t>48.319</w:t>
      </w:r>
      <w:r>
        <w:rPr>
          <w:color w:val="000000" w:themeColor="text1"/>
          <w:sz w:val="20"/>
          <w:szCs w:val="20"/>
        </w:rPr>
        <w:t xml:space="preserve"> orang dan pekerja tak dibayar perempuan mencapai 1</w:t>
      </w:r>
      <w:r>
        <w:rPr>
          <w:color w:val="000000" w:themeColor="text1"/>
          <w:sz w:val="20"/>
          <w:szCs w:val="20"/>
          <w:lang w:val="en-ID"/>
        </w:rPr>
        <w:t>14.821</w:t>
      </w:r>
      <w:r>
        <w:rPr>
          <w:color w:val="000000" w:themeColor="text1"/>
          <w:sz w:val="20"/>
          <w:szCs w:val="20"/>
        </w:rPr>
        <w:t xml:space="preserve"> orang. Tahun 2021 pekerja tak dibayar baik laki-laki maupun perempuan mengalami sedikit peningkatan, masing-masing sebanyak 1.574 orang laki-laki dan 6.271 orang perempuan.</w:t>
      </w:r>
    </w:p>
    <w:p>
      <w:pPr>
        <w:pStyle w:val="Caption"/>
        <w:ind w:left="1418" w:hanging="1134"/>
        <w:jc w:val="both"/>
        <w:rPr>
          <w:b/>
          <w:bCs/>
          <w:i w:val="0"/>
          <w:iCs w:val="0"/>
          <w:color w:val="auto"/>
          <w:sz w:val="20"/>
          <w:szCs w:val="20"/>
        </w:rPr>
      </w:pPr>
      <w:bookmarkStart w:id="114" w:name="_Toc117519630"/>
      <w:r>
        <w:rPr>
          <w:b/>
          <w:bCs/>
          <w:i w:val="0"/>
          <w:iCs w:val="0"/>
          <w:color w:val="auto"/>
          <w:sz w:val="20"/>
          <w:szCs w:val="20"/>
        </w:rPr>
        <w:t xml:space="preserve">Gambar 7. </w:t>
      </w:r>
      <w:r>
        <w:rPr>
          <w:b/>
          <w:bCs/>
          <w:i w:val="0"/>
          <w:iCs w:val="0"/>
          <w:color w:val="auto"/>
          <w:sz w:val="20"/>
          <w:szCs w:val="20"/>
        </w:rPr>
        <w:fldChar w:fldCharType="begin"/>
      </w:r>
      <w:r>
        <w:rPr>
          <w:b/>
          <w:bCs/>
          <w:i w:val="0"/>
          <w:iCs w:val="0"/>
          <w:color w:val="auto"/>
          <w:sz w:val="20"/>
          <w:szCs w:val="20"/>
        </w:rPr>
        <w:instrText xml:space="preserve"> SEQ Gambar_7. \* ARABIC </w:instrText>
      </w:r>
      <w:r>
        <w:rPr>
          <w:b/>
          <w:bCs/>
          <w:i w:val="0"/>
          <w:iCs w:val="0"/>
          <w:color w:val="auto"/>
          <w:sz w:val="20"/>
          <w:szCs w:val="20"/>
        </w:rPr>
        <w:fldChar w:fldCharType="separate"/>
      </w:r>
      <w:r>
        <w:rPr>
          <w:b/>
          <w:bCs/>
          <w:i w:val="0"/>
          <w:iCs w:val="0"/>
          <w:noProof/>
          <w:color w:val="auto"/>
          <w:sz w:val="20"/>
          <w:szCs w:val="20"/>
        </w:rPr>
        <w:t>3</w:t>
      </w:r>
      <w:r>
        <w:rPr>
          <w:b/>
          <w:bCs/>
          <w:i w:val="0"/>
          <w:iCs w:val="0"/>
          <w:color w:val="auto"/>
          <w:sz w:val="20"/>
          <w:szCs w:val="20"/>
        </w:rPr>
        <w:fldChar w:fldCharType="end"/>
      </w:r>
      <w:r>
        <w:rPr>
          <w:b/>
          <w:bCs/>
          <w:i w:val="0"/>
          <w:iCs w:val="0"/>
          <w:color w:val="auto"/>
          <w:sz w:val="20"/>
          <w:szCs w:val="20"/>
        </w:rPr>
        <w:tab/>
        <w:t>Persentase Pekerja Tak Dibayar Menurut Jenis Kelamin, 2020-2021</w:t>
      </w:r>
      <w:bookmarkEnd w:id="114"/>
    </w:p>
    <w:p>
      <w:r>
        <w:rPr>
          <w:noProof/>
          <w:lang w:val="en-ID" w:eastAsia="en-ID"/>
        </w:rPr>
        <w:drawing>
          <wp:anchor distT="0" distB="0" distL="114300" distR="114300" simplePos="0" relativeHeight="251656192" behindDoc="0" locked="0" layoutInCell="1" allowOverlap="1">
            <wp:simplePos x="0" y="0"/>
            <wp:positionH relativeFrom="column">
              <wp:posOffset>179070</wp:posOffset>
            </wp:positionH>
            <wp:positionV relativeFrom="paragraph">
              <wp:posOffset>17780</wp:posOffset>
            </wp:positionV>
            <wp:extent cx="3688080" cy="2438400"/>
            <wp:effectExtent l="0" t="0" r="0" b="0"/>
            <wp:wrapNone/>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BC0A07-3B61-3CFD-9E6E-99BE78324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p/>
    <w:p/>
    <w:p/>
    <w:p/>
    <w:p>
      <w:pPr>
        <w:ind w:left="284" w:hanging="284"/>
        <w:jc w:val="both"/>
        <w:rPr>
          <w:rFonts w:cstheme="minorHAnsi"/>
          <w:i/>
          <w:color w:val="000000" w:themeColor="text1"/>
          <w:sz w:val="18"/>
          <w:szCs w:val="18"/>
        </w:rPr>
      </w:pPr>
    </w:p>
    <w:p>
      <w:pPr>
        <w:ind w:left="284"/>
        <w:jc w:val="both"/>
        <w:rPr>
          <w:rFonts w:cstheme="minorHAnsi"/>
          <w:i/>
          <w:color w:val="000000" w:themeColor="text1"/>
          <w:sz w:val="18"/>
          <w:szCs w:val="18"/>
        </w:rPr>
      </w:pPr>
    </w:p>
    <w:p>
      <w:pPr>
        <w:ind w:left="284"/>
        <w:jc w:val="both"/>
      </w:pPr>
      <w:r>
        <w:rPr>
          <w:rFonts w:cstheme="minorHAnsi"/>
          <w:i/>
          <w:color w:val="000000" w:themeColor="text1"/>
          <w:sz w:val="18"/>
          <w:szCs w:val="18"/>
        </w:rPr>
        <w:t>Sumber : BPS, Sakernas Agustus 2020 - 2021</w:t>
      </w: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Bila dilihat antar kabupaten/kota di Kalimantan Tengah, perkembangan jumlah pekerja tak dibayar memiliki pola yang berbeda. Kabupaten </w:t>
      </w:r>
      <w:r>
        <w:rPr>
          <w:rFonts w:asciiTheme="minorHAnsi" w:hAnsiTheme="minorHAnsi"/>
          <w:sz w:val="20"/>
          <w:szCs w:val="20"/>
          <w:lang w:val="id-ID"/>
        </w:rPr>
        <w:t xml:space="preserve">Kotawaringin Timur, </w:t>
      </w:r>
      <w:r>
        <w:rPr>
          <w:rFonts w:asciiTheme="minorHAnsi" w:hAnsiTheme="minorHAnsi"/>
          <w:sz w:val="20"/>
          <w:szCs w:val="20"/>
          <w:lang w:val="en-ID"/>
        </w:rPr>
        <w:t>Kapuas, Barito Selatan, Lamandau, Seruyan, Pulang Pisau, Barito Timur, Murung Raya dan Kota Palangka Raya mengalami peningkatan jumlah pekerja keluarga/ tidak dibayar perempuan di tahun 2021 dibandingkan tahun 2020.</w:t>
      </w:r>
      <w:r>
        <w:rPr>
          <w:rFonts w:asciiTheme="minorHAnsi" w:hAnsiTheme="minorHAnsi"/>
          <w:sz w:val="20"/>
          <w:szCs w:val="20"/>
        </w:rPr>
        <w:t xml:space="preserve"> Sebaliknya, </w:t>
      </w:r>
      <w:r>
        <w:rPr>
          <w:rFonts w:asciiTheme="minorHAnsi" w:hAnsiTheme="minorHAnsi"/>
          <w:sz w:val="20"/>
          <w:szCs w:val="20"/>
          <w:lang w:val="id-ID"/>
        </w:rPr>
        <w:t xml:space="preserve">Kabupaten </w:t>
      </w:r>
      <w:r>
        <w:rPr>
          <w:rFonts w:asciiTheme="minorHAnsi" w:hAnsiTheme="minorHAnsi"/>
          <w:sz w:val="20"/>
          <w:szCs w:val="20"/>
          <w:lang w:val="en-ID"/>
        </w:rPr>
        <w:t xml:space="preserve">Kotawaringin Barat, Barito Utara, Sukamara, Katingan, dan Gunung Mas </w:t>
      </w:r>
      <w:r>
        <w:rPr>
          <w:rFonts w:asciiTheme="minorHAnsi" w:hAnsiTheme="minorHAnsi"/>
          <w:sz w:val="20"/>
          <w:szCs w:val="20"/>
        </w:rPr>
        <w:t xml:space="preserve">mengalami penurunan jumlah pekerja perempuan tak dibayar dalam kurun waktu yang sama. </w:t>
      </w: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p>
    <w:p>
      <w:pPr>
        <w:pStyle w:val="Caption"/>
        <w:tabs>
          <w:tab w:val="left" w:pos="142"/>
        </w:tabs>
        <w:ind w:left="1418" w:hanging="1134"/>
        <w:jc w:val="both"/>
        <w:rPr>
          <w:b/>
          <w:bCs/>
          <w:i w:val="0"/>
          <w:iCs w:val="0"/>
          <w:color w:val="auto"/>
          <w:sz w:val="20"/>
          <w:szCs w:val="20"/>
        </w:rPr>
      </w:pPr>
      <w:bookmarkStart w:id="115" w:name="_Toc117519551"/>
      <w:r>
        <w:rPr>
          <w:b/>
          <w:bCs/>
          <w:i w:val="0"/>
          <w:iCs w:val="0"/>
          <w:color w:val="auto"/>
          <w:sz w:val="20"/>
          <w:szCs w:val="20"/>
        </w:rPr>
        <w:t xml:space="preserve">Tabel 7. </w:t>
      </w:r>
      <w:r>
        <w:rPr>
          <w:b/>
          <w:bCs/>
          <w:i w:val="0"/>
          <w:iCs w:val="0"/>
          <w:color w:val="auto"/>
          <w:sz w:val="20"/>
          <w:szCs w:val="20"/>
        </w:rPr>
        <w:fldChar w:fldCharType="begin"/>
      </w:r>
      <w:r>
        <w:rPr>
          <w:b/>
          <w:bCs/>
          <w:i w:val="0"/>
          <w:iCs w:val="0"/>
          <w:color w:val="auto"/>
          <w:sz w:val="20"/>
          <w:szCs w:val="20"/>
        </w:rPr>
        <w:instrText xml:space="preserve"> SEQ Tabel_7. \* ARABIC </w:instrText>
      </w:r>
      <w:r>
        <w:rPr>
          <w:b/>
          <w:bCs/>
          <w:i w:val="0"/>
          <w:iCs w:val="0"/>
          <w:color w:val="auto"/>
          <w:sz w:val="20"/>
          <w:szCs w:val="20"/>
        </w:rPr>
        <w:fldChar w:fldCharType="separate"/>
      </w:r>
      <w:r>
        <w:rPr>
          <w:b/>
          <w:bCs/>
          <w:i w:val="0"/>
          <w:iCs w:val="0"/>
          <w:noProof/>
          <w:color w:val="auto"/>
          <w:sz w:val="20"/>
          <w:szCs w:val="20"/>
        </w:rPr>
        <w:t>5</w:t>
      </w:r>
      <w:r>
        <w:rPr>
          <w:b/>
          <w:bCs/>
          <w:i w:val="0"/>
          <w:iCs w:val="0"/>
          <w:color w:val="auto"/>
          <w:sz w:val="20"/>
          <w:szCs w:val="20"/>
        </w:rPr>
        <w:fldChar w:fldCharType="end"/>
      </w:r>
      <w:r>
        <w:rPr>
          <w:b/>
          <w:bCs/>
          <w:i w:val="0"/>
          <w:iCs w:val="0"/>
          <w:color w:val="auto"/>
          <w:sz w:val="20"/>
          <w:szCs w:val="20"/>
        </w:rPr>
        <w:tab/>
        <w:t>Jumlah Pekerja Tak Dibayar Menurut Jenis Kelamin dan</w:t>
      </w:r>
      <w:r>
        <w:rPr>
          <w:b/>
          <w:bCs/>
          <w:i w:val="0"/>
          <w:iCs w:val="0"/>
          <w:color w:val="auto"/>
          <w:sz w:val="20"/>
          <w:szCs w:val="20"/>
          <w:lang w:val="en-US"/>
        </w:rPr>
        <w:t xml:space="preserve"> </w:t>
      </w:r>
      <w:r>
        <w:rPr>
          <w:b/>
          <w:bCs/>
          <w:i w:val="0"/>
          <w:iCs w:val="0"/>
          <w:color w:val="auto"/>
          <w:sz w:val="20"/>
          <w:szCs w:val="20"/>
        </w:rPr>
        <w:t>Kabupaten/Kota, 2020-2021</w:t>
      </w:r>
      <w:bookmarkEnd w:id="115"/>
    </w:p>
    <w:tbl>
      <w:tblPr>
        <w:tblStyle w:val="TableGrid"/>
        <w:tblpPr w:leftFromText="180" w:rightFromText="180" w:vertAnchor="text" w:tblpX="392" w:tblpY="1"/>
        <w:tblW w:w="5883" w:type="dxa"/>
        <w:tblLayout w:type="fixed"/>
        <w:tblLook w:val="04A0" w:firstRow="1" w:lastRow="0" w:firstColumn="1" w:lastColumn="0" w:noHBand="0" w:noVBand="1"/>
      </w:tblPr>
      <w:tblGrid>
        <w:gridCol w:w="2044"/>
        <w:gridCol w:w="959"/>
        <w:gridCol w:w="961"/>
        <w:gridCol w:w="959"/>
        <w:gridCol w:w="960"/>
      </w:tblGrid>
      <w:tr>
        <w:trPr>
          <w:trHeight w:val="503"/>
        </w:trPr>
        <w:tc>
          <w:tcPr>
            <w:tcW w:w="20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Kabupaten/Kota</w:t>
            </w:r>
          </w:p>
        </w:tc>
        <w:tc>
          <w:tcPr>
            <w:tcW w:w="19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Laki-laki</w:t>
            </w:r>
          </w:p>
        </w:tc>
        <w:tc>
          <w:tcPr>
            <w:tcW w:w="1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Perempuan</w:t>
            </w:r>
          </w:p>
        </w:tc>
      </w:tr>
      <w:tr>
        <w:trPr>
          <w:trHeight w:val="503"/>
        </w:trPr>
        <w:tc>
          <w:tcPr>
            <w:tcW w:w="20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lang w:val="en-US"/>
              </w:rPr>
            </w:pPr>
          </w:p>
        </w:tc>
        <w:tc>
          <w:tcPr>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2020</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2021</w:t>
            </w:r>
          </w:p>
        </w:tc>
        <w:tc>
          <w:tcPr>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2020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2021</w:t>
            </w:r>
          </w:p>
        </w:tc>
      </w:tr>
      <w:tr>
        <w:trPr>
          <w:trHeight w:val="280"/>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(1)</w:t>
            </w:r>
          </w:p>
        </w:tc>
        <w:tc>
          <w:tcPr>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(2)</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(3)</w:t>
            </w:r>
          </w:p>
        </w:tc>
        <w:tc>
          <w:tcPr>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bCs/>
                <w:color w:val="FFFFFF" w:themeColor="background1"/>
                <w:sz w:val="18"/>
                <w:szCs w:val="18"/>
              </w:rPr>
            </w:pPr>
            <w:r>
              <w:rPr>
                <w:bCs/>
                <w:color w:val="FFFFFF" w:themeColor="background1"/>
                <w:sz w:val="18"/>
                <w:szCs w:val="18"/>
              </w:rPr>
              <w:t>(6)</w:t>
            </w:r>
          </w:p>
        </w:tc>
      </w:tr>
      <w:tr>
        <w:trPr>
          <w:trHeight w:val="431"/>
        </w:trPr>
        <w:tc>
          <w:tcPr>
            <w:tcW w:w="2044"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hideMark/>
          </w:tcPr>
          <w:p>
            <w:pPr>
              <w:spacing w:before="60" w:after="60"/>
              <w:jc w:val="both"/>
              <w:rPr>
                <w:color w:val="000000"/>
                <w:sz w:val="18"/>
                <w:szCs w:val="18"/>
              </w:rPr>
            </w:pPr>
            <w:r>
              <w:rPr>
                <w:color w:val="000000"/>
                <w:sz w:val="18"/>
                <w:szCs w:val="18"/>
              </w:rPr>
              <w:t>Kotawaringin Barat</w:t>
            </w:r>
          </w:p>
        </w:tc>
        <w:tc>
          <w:tcPr>
            <w:tcW w:w="959"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5.337</w:t>
            </w:r>
          </w:p>
        </w:tc>
        <w:tc>
          <w:tcPr>
            <w:tcW w:w="961"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5.977</w:t>
            </w:r>
          </w:p>
        </w:tc>
        <w:tc>
          <w:tcPr>
            <w:tcW w:w="959"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12.720</w:t>
            </w:r>
          </w:p>
        </w:tc>
        <w:tc>
          <w:tcPr>
            <w:tcW w:w="960"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11.205</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60" w:after="60"/>
              <w:jc w:val="both"/>
              <w:rPr>
                <w:rFonts w:cs="Times New Roman"/>
                <w:color w:val="000000"/>
                <w:sz w:val="18"/>
                <w:szCs w:val="18"/>
              </w:rPr>
            </w:pPr>
            <w:r>
              <w:rPr>
                <w:color w:val="000000"/>
                <w:sz w:val="18"/>
                <w:szCs w:val="18"/>
              </w:rPr>
              <w:t>Kotawaringin Timur</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9.732</w:t>
            </w:r>
          </w:p>
        </w:tc>
        <w:tc>
          <w:tcPr>
            <w:tcW w:w="96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7.597</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14.926</w:t>
            </w:r>
          </w:p>
        </w:tc>
        <w:tc>
          <w:tcPr>
            <w:tcW w:w="96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16.279</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spacing w:before="60" w:after="60"/>
              <w:jc w:val="both"/>
              <w:rPr>
                <w:rFonts w:cs="Times New Roman"/>
                <w:color w:val="000000"/>
                <w:sz w:val="18"/>
                <w:szCs w:val="18"/>
              </w:rPr>
            </w:pPr>
            <w:r>
              <w:rPr>
                <w:color w:val="000000"/>
                <w:sz w:val="18"/>
                <w:szCs w:val="18"/>
              </w:rPr>
              <w:t>Kapuas</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9.814</w:t>
            </w:r>
          </w:p>
        </w:tc>
        <w:tc>
          <w:tcPr>
            <w:tcW w:w="96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11.682</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25.913</w:t>
            </w:r>
          </w:p>
        </w:tc>
        <w:tc>
          <w:tcPr>
            <w:tcW w:w="9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28.346</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60" w:after="60"/>
              <w:jc w:val="both"/>
              <w:rPr>
                <w:rFonts w:cs="Times New Roman"/>
                <w:color w:val="000000"/>
                <w:sz w:val="18"/>
                <w:szCs w:val="18"/>
              </w:rPr>
            </w:pPr>
            <w:r>
              <w:rPr>
                <w:color w:val="000000"/>
                <w:sz w:val="18"/>
                <w:szCs w:val="18"/>
              </w:rPr>
              <w:t>Barsel</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992</w:t>
            </w:r>
          </w:p>
        </w:tc>
        <w:tc>
          <w:tcPr>
            <w:tcW w:w="96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1.004</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4.147</w:t>
            </w:r>
          </w:p>
        </w:tc>
        <w:tc>
          <w:tcPr>
            <w:tcW w:w="96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4.521</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spacing w:before="60" w:after="60"/>
              <w:jc w:val="both"/>
              <w:rPr>
                <w:rFonts w:cs="Times New Roman"/>
                <w:color w:val="000000"/>
                <w:sz w:val="18"/>
                <w:szCs w:val="18"/>
              </w:rPr>
            </w:pPr>
            <w:r>
              <w:rPr>
                <w:color w:val="000000"/>
                <w:sz w:val="18"/>
                <w:szCs w:val="18"/>
              </w:rPr>
              <w:t>Barito Utara</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2.470</w:t>
            </w:r>
          </w:p>
        </w:tc>
        <w:tc>
          <w:tcPr>
            <w:tcW w:w="96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1.788</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7.494</w:t>
            </w:r>
          </w:p>
        </w:tc>
        <w:tc>
          <w:tcPr>
            <w:tcW w:w="9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7.246</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60" w:after="60"/>
              <w:jc w:val="both"/>
              <w:rPr>
                <w:rFonts w:cs="Times New Roman"/>
                <w:color w:val="000000"/>
                <w:sz w:val="18"/>
                <w:szCs w:val="18"/>
              </w:rPr>
            </w:pPr>
            <w:r>
              <w:rPr>
                <w:color w:val="000000"/>
                <w:sz w:val="18"/>
                <w:szCs w:val="18"/>
              </w:rPr>
              <w:lastRenderedPageBreak/>
              <w:t>Sukamara</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541</w:t>
            </w:r>
          </w:p>
        </w:tc>
        <w:tc>
          <w:tcPr>
            <w:tcW w:w="96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650</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1.645</w:t>
            </w:r>
          </w:p>
        </w:tc>
        <w:tc>
          <w:tcPr>
            <w:tcW w:w="96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1.562</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spacing w:before="60" w:after="60"/>
              <w:jc w:val="both"/>
              <w:rPr>
                <w:rFonts w:cs="Times New Roman"/>
                <w:color w:val="000000"/>
                <w:sz w:val="18"/>
                <w:szCs w:val="18"/>
              </w:rPr>
            </w:pPr>
            <w:r>
              <w:rPr>
                <w:color w:val="000000"/>
                <w:sz w:val="18"/>
                <w:szCs w:val="18"/>
              </w:rPr>
              <w:t>Lamandau</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816</w:t>
            </w:r>
          </w:p>
        </w:tc>
        <w:tc>
          <w:tcPr>
            <w:tcW w:w="96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586</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2.697</w:t>
            </w:r>
          </w:p>
        </w:tc>
        <w:tc>
          <w:tcPr>
            <w:tcW w:w="9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3.505</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60" w:after="60"/>
              <w:jc w:val="both"/>
              <w:rPr>
                <w:rFonts w:cs="Times New Roman"/>
                <w:color w:val="000000"/>
                <w:sz w:val="18"/>
                <w:szCs w:val="18"/>
              </w:rPr>
            </w:pPr>
            <w:r>
              <w:rPr>
                <w:color w:val="000000"/>
                <w:sz w:val="18"/>
                <w:szCs w:val="18"/>
              </w:rPr>
              <w:t>Seruyan</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2.046</w:t>
            </w:r>
          </w:p>
        </w:tc>
        <w:tc>
          <w:tcPr>
            <w:tcW w:w="96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3.423</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4.117</w:t>
            </w:r>
          </w:p>
        </w:tc>
        <w:tc>
          <w:tcPr>
            <w:tcW w:w="96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4.305</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spacing w:before="60" w:after="60"/>
              <w:jc w:val="both"/>
              <w:rPr>
                <w:rFonts w:cs="Times New Roman"/>
                <w:color w:val="000000"/>
                <w:sz w:val="18"/>
                <w:szCs w:val="18"/>
              </w:rPr>
            </w:pPr>
            <w:r>
              <w:rPr>
                <w:color w:val="000000"/>
                <w:sz w:val="18"/>
                <w:szCs w:val="18"/>
              </w:rPr>
              <w:t>Katingan</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2.462</w:t>
            </w:r>
          </w:p>
        </w:tc>
        <w:tc>
          <w:tcPr>
            <w:tcW w:w="96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3.121</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6.036</w:t>
            </w:r>
          </w:p>
        </w:tc>
        <w:tc>
          <w:tcPr>
            <w:tcW w:w="9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4.947</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60" w:after="60"/>
              <w:jc w:val="both"/>
              <w:rPr>
                <w:rFonts w:cs="Times New Roman"/>
                <w:color w:val="000000"/>
                <w:sz w:val="18"/>
                <w:szCs w:val="18"/>
              </w:rPr>
            </w:pPr>
            <w:r>
              <w:rPr>
                <w:color w:val="000000"/>
                <w:sz w:val="18"/>
                <w:szCs w:val="18"/>
              </w:rPr>
              <w:t>Pulang Pisau</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3.355</w:t>
            </w:r>
          </w:p>
        </w:tc>
        <w:tc>
          <w:tcPr>
            <w:tcW w:w="96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3.166</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9.496</w:t>
            </w:r>
          </w:p>
        </w:tc>
        <w:tc>
          <w:tcPr>
            <w:tcW w:w="96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10.179</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spacing w:before="60" w:after="60"/>
              <w:jc w:val="both"/>
              <w:rPr>
                <w:rFonts w:cs="Times New Roman"/>
                <w:color w:val="000000"/>
                <w:sz w:val="18"/>
                <w:szCs w:val="18"/>
              </w:rPr>
            </w:pPr>
            <w:r>
              <w:rPr>
                <w:color w:val="000000"/>
                <w:sz w:val="18"/>
                <w:szCs w:val="18"/>
              </w:rPr>
              <w:t>Gumas</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2.638</w:t>
            </w:r>
          </w:p>
        </w:tc>
        <w:tc>
          <w:tcPr>
            <w:tcW w:w="96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2.795</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4.920</w:t>
            </w:r>
          </w:p>
        </w:tc>
        <w:tc>
          <w:tcPr>
            <w:tcW w:w="9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3.860</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60" w:after="60"/>
              <w:jc w:val="both"/>
              <w:rPr>
                <w:rFonts w:cs="Times New Roman"/>
                <w:color w:val="000000"/>
                <w:sz w:val="18"/>
                <w:szCs w:val="18"/>
              </w:rPr>
            </w:pPr>
            <w:r>
              <w:rPr>
                <w:color w:val="000000"/>
                <w:sz w:val="18"/>
                <w:szCs w:val="18"/>
              </w:rPr>
              <w:t>Barito Timur</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3.020</w:t>
            </w:r>
          </w:p>
        </w:tc>
        <w:tc>
          <w:tcPr>
            <w:tcW w:w="96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2.474</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9.146</w:t>
            </w:r>
          </w:p>
        </w:tc>
        <w:tc>
          <w:tcPr>
            <w:tcW w:w="96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10.320</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spacing w:before="60" w:after="60"/>
              <w:jc w:val="both"/>
              <w:rPr>
                <w:rFonts w:cs="Times New Roman"/>
                <w:color w:val="000000"/>
                <w:sz w:val="18"/>
                <w:szCs w:val="18"/>
              </w:rPr>
            </w:pPr>
            <w:r>
              <w:rPr>
                <w:color w:val="000000"/>
                <w:sz w:val="18"/>
                <w:szCs w:val="18"/>
              </w:rPr>
              <w:t>Mura</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1.156</w:t>
            </w:r>
          </w:p>
        </w:tc>
        <w:tc>
          <w:tcPr>
            <w:tcW w:w="96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1.569</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3.434</w:t>
            </w:r>
          </w:p>
        </w:tc>
        <w:tc>
          <w:tcPr>
            <w:tcW w:w="9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5.669</w:t>
            </w:r>
          </w:p>
        </w:tc>
      </w:tr>
      <w:tr>
        <w:trPr>
          <w:trHeight w:val="431"/>
        </w:trPr>
        <w:tc>
          <w:tcPr>
            <w:tcW w:w="20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60" w:after="60"/>
              <w:jc w:val="both"/>
              <w:rPr>
                <w:rFonts w:cs="Times New Roman"/>
                <w:color w:val="000000"/>
                <w:sz w:val="18"/>
                <w:szCs w:val="18"/>
              </w:rPr>
            </w:pPr>
            <w:r>
              <w:rPr>
                <w:color w:val="000000"/>
                <w:sz w:val="18"/>
                <w:szCs w:val="18"/>
              </w:rPr>
              <w:t>Palangka Raya</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3.940</w:t>
            </w:r>
          </w:p>
        </w:tc>
        <w:tc>
          <w:tcPr>
            <w:tcW w:w="96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4.061</w:t>
            </w:r>
          </w:p>
        </w:tc>
        <w:tc>
          <w:tcPr>
            <w:tcW w:w="95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8.130</w:t>
            </w:r>
          </w:p>
        </w:tc>
        <w:tc>
          <w:tcPr>
            <w:tcW w:w="96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ascii="Calibri" w:hAnsi="Calibri" w:cs="Calibri"/>
                <w:color w:val="000000"/>
                <w:sz w:val="18"/>
                <w:szCs w:val="18"/>
              </w:rPr>
              <w:t>9.148</w:t>
            </w:r>
          </w:p>
        </w:tc>
      </w:tr>
      <w:tr>
        <w:trPr>
          <w:trHeight w:val="503"/>
        </w:trPr>
        <w:tc>
          <w:tcPr>
            <w:tcW w:w="20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pPr>
              <w:spacing w:before="60" w:after="60"/>
              <w:jc w:val="both"/>
              <w:rPr>
                <w:rFonts w:cs="Times New Roman"/>
                <w:bCs/>
                <w:color w:val="000000"/>
                <w:sz w:val="18"/>
                <w:szCs w:val="18"/>
              </w:rPr>
            </w:pPr>
            <w:r>
              <w:rPr>
                <w:bCs/>
                <w:color w:val="000000"/>
                <w:sz w:val="18"/>
                <w:szCs w:val="18"/>
              </w:rPr>
              <w:t>Kalimantan Tengah</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48.319</w:t>
            </w:r>
          </w:p>
        </w:tc>
        <w:tc>
          <w:tcPr>
            <w:tcW w:w="96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49.893</w:t>
            </w:r>
          </w:p>
        </w:tc>
        <w:tc>
          <w:tcPr>
            <w:tcW w:w="9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114.821</w:t>
            </w:r>
          </w:p>
        </w:tc>
        <w:tc>
          <w:tcPr>
            <w:tcW w:w="9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ascii="Calibri" w:hAnsi="Calibri" w:cs="Calibri"/>
                <w:color w:val="000000"/>
                <w:sz w:val="18"/>
                <w:szCs w:val="18"/>
              </w:rPr>
              <w:t>121.092</w:t>
            </w:r>
          </w:p>
        </w:tc>
      </w:tr>
    </w:tbl>
    <w:p>
      <w:pPr>
        <w:pStyle w:val="BodyTextIndent2"/>
        <w:spacing w:after="0" w:line="240" w:lineRule="auto"/>
        <w:ind w:left="284"/>
        <w:jc w:val="both"/>
        <w:rPr>
          <w:rFonts w:asciiTheme="minorHAnsi" w:hAnsiTheme="minorHAnsi"/>
          <w:i/>
          <w:color w:val="000000" w:themeColor="text1"/>
          <w:sz w:val="18"/>
          <w:szCs w:val="18"/>
        </w:rPr>
      </w:pPr>
      <w:r>
        <w:rPr>
          <w:rFonts w:asciiTheme="minorHAnsi" w:hAnsiTheme="minorHAnsi"/>
          <w:i/>
          <w:color w:val="000000" w:themeColor="text1"/>
          <w:sz w:val="18"/>
          <w:szCs w:val="18"/>
        </w:rPr>
        <w:t>Sumber: BPS, Sakernas Agustus 2020 – 2021</w:t>
      </w:r>
    </w:p>
    <w:p>
      <w:pPr>
        <w:pStyle w:val="Heading2"/>
        <w:numPr>
          <w:ilvl w:val="1"/>
          <w:numId w:val="21"/>
        </w:numPr>
        <w:ind w:left="709" w:hanging="425"/>
        <w:jc w:val="both"/>
        <w:rPr>
          <w:bCs/>
          <w:sz w:val="20"/>
          <w:szCs w:val="20"/>
          <w:lang w:val="en-US"/>
        </w:rPr>
      </w:pPr>
      <w:bookmarkStart w:id="116" w:name="_Toc118716005"/>
      <w:r>
        <w:rPr>
          <w:rFonts w:asciiTheme="minorHAnsi" w:hAnsiTheme="minorHAnsi"/>
          <w:bCs/>
          <w:sz w:val="20"/>
          <w:szCs w:val="20"/>
        </w:rPr>
        <w:t>Perempuan Pekerja Profesional dan Kepemimpinan</w:t>
      </w:r>
      <w:bookmarkEnd w:id="116"/>
    </w:p>
    <w:p>
      <w:pPr>
        <w:pStyle w:val="BodyTextIndent2"/>
        <w:spacing w:line="360" w:lineRule="auto"/>
        <w:ind w:left="284" w:firstLine="567"/>
        <w:jc w:val="both"/>
        <w:rPr>
          <w:rFonts w:asciiTheme="minorHAnsi" w:hAnsiTheme="minorHAnsi"/>
          <w:sz w:val="20"/>
          <w:szCs w:val="20"/>
        </w:rPr>
      </w:pPr>
      <w:r>
        <w:rPr>
          <w:rFonts w:asciiTheme="minorHAnsi" w:hAnsiTheme="minorHAnsi"/>
          <w:sz w:val="20"/>
          <w:szCs w:val="20"/>
        </w:rPr>
        <w:t>Jenis pekerjaan merupakan salah satu sisi dunia ketenagakerjaan yang berkaitan erat dengan isu gender. Jenis pekerjaan perempuan seringkali bersifat spesifik, yaitu cenderung disesuaikan dengan sifat dasar atau pembawaan perempuan yaitu mengasuh dan menjaga atau lebih sabar dan teliti dibandingkan laki-laki. Salah satu jenis pekerjaan yang akan dibahas dalam analisis</w:t>
      </w:r>
      <w:r>
        <w:rPr>
          <w:rFonts w:asciiTheme="minorHAnsi" w:hAnsiTheme="minorHAnsi"/>
          <w:sz w:val="20"/>
          <w:szCs w:val="20"/>
          <w:lang w:val="id-ID"/>
        </w:rPr>
        <w:t xml:space="preserve"> </w:t>
      </w:r>
      <w:r>
        <w:rPr>
          <w:rFonts w:asciiTheme="minorHAnsi" w:hAnsiTheme="minorHAnsi"/>
          <w:sz w:val="20"/>
          <w:szCs w:val="20"/>
        </w:rPr>
        <w:t xml:space="preserve">ini adalah jenis yang tergolong profesional dan managerial. </w:t>
      </w:r>
      <w:r>
        <w:rPr>
          <w:rFonts w:asciiTheme="minorHAnsi" w:hAnsiTheme="minorHAnsi"/>
          <w:sz w:val="20"/>
          <w:szCs w:val="20"/>
          <w:lang w:val="id-ID"/>
        </w:rPr>
        <w:t>J</w:t>
      </w:r>
      <w:r>
        <w:rPr>
          <w:rFonts w:asciiTheme="minorHAnsi" w:hAnsiTheme="minorHAnsi"/>
          <w:sz w:val="20"/>
          <w:szCs w:val="20"/>
        </w:rPr>
        <w:t xml:space="preserve">adi dalam pembahasan ini ingin mengetahui berapa besar kontribusi pekerja baik laki-laki maupun perempuan sebagai pekerja profesional dan managerial. </w:t>
      </w: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spacing w:line="360" w:lineRule="auto"/>
        <w:ind w:left="0" w:firstLine="567"/>
        <w:jc w:val="both"/>
        <w:rPr>
          <w:rFonts w:asciiTheme="minorHAnsi" w:hAnsiTheme="minorHAnsi"/>
          <w:sz w:val="20"/>
          <w:szCs w:val="20"/>
        </w:rPr>
      </w:pPr>
    </w:p>
    <w:p>
      <w:pPr>
        <w:pStyle w:val="BodyTextIndent2"/>
        <w:tabs>
          <w:tab w:val="left" w:pos="1418"/>
        </w:tabs>
        <w:spacing w:line="240" w:lineRule="auto"/>
        <w:ind w:left="1418" w:hanging="1134"/>
        <w:jc w:val="both"/>
        <w:rPr>
          <w:rFonts w:asciiTheme="minorHAnsi" w:hAnsiTheme="minorHAnsi" w:cstheme="minorHAnsi"/>
          <w:b/>
          <w:bCs/>
          <w:sz w:val="20"/>
          <w:szCs w:val="20"/>
        </w:rPr>
      </w:pPr>
      <w:bookmarkStart w:id="117" w:name="_Toc117519552"/>
      <w:r>
        <w:rPr>
          <w:rFonts w:asciiTheme="minorHAnsi" w:hAnsiTheme="minorHAnsi" w:cstheme="minorHAnsi"/>
          <w:b/>
          <w:bCs/>
          <w:sz w:val="20"/>
          <w:szCs w:val="20"/>
        </w:rPr>
        <w:t xml:space="preserve">Tabel 7. </w:t>
      </w:r>
      <w:r>
        <w:rPr>
          <w:rFonts w:asciiTheme="minorHAnsi" w:hAnsiTheme="minorHAnsi" w:cstheme="minorHAnsi"/>
          <w:b/>
          <w:bCs/>
          <w:sz w:val="20"/>
          <w:szCs w:val="20"/>
        </w:rPr>
        <w:fldChar w:fldCharType="begin"/>
      </w:r>
      <w:r>
        <w:rPr>
          <w:rFonts w:asciiTheme="minorHAnsi" w:hAnsiTheme="minorHAnsi" w:cstheme="minorHAnsi"/>
          <w:b/>
          <w:bCs/>
          <w:sz w:val="20"/>
          <w:szCs w:val="20"/>
        </w:rPr>
        <w:instrText xml:space="preserve"> SEQ Tabel_7. \* ARABIC </w:instrText>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6</w:t>
      </w:r>
      <w:r>
        <w:rPr>
          <w:rFonts w:asciiTheme="minorHAnsi" w:hAnsiTheme="minorHAnsi" w:cstheme="minorHAnsi"/>
          <w:b/>
          <w:bCs/>
          <w:sz w:val="20"/>
          <w:szCs w:val="20"/>
        </w:rPr>
        <w:fldChar w:fldCharType="end"/>
      </w:r>
      <w:r>
        <w:rPr>
          <w:rFonts w:asciiTheme="minorHAnsi" w:hAnsiTheme="minorHAnsi" w:cstheme="minorHAnsi"/>
          <w:b/>
          <w:bCs/>
          <w:sz w:val="20"/>
          <w:szCs w:val="20"/>
        </w:rPr>
        <w:tab/>
        <w:t>Jumlah Pekerja Profesional dan Manajerial Menurut Jenis Kelamin dan Kabupaten/Kota, 2020-2021</w:t>
      </w:r>
      <w:bookmarkEnd w:id="117"/>
    </w:p>
    <w:tbl>
      <w:tblPr>
        <w:tblStyle w:val="TableGrid"/>
        <w:tblpPr w:leftFromText="180" w:rightFromText="180" w:vertAnchor="text" w:tblpX="358" w:tblpY="1"/>
        <w:tblW w:w="5914" w:type="dxa"/>
        <w:tblLayout w:type="fixed"/>
        <w:tblLook w:val="04A0" w:firstRow="1" w:lastRow="0" w:firstColumn="1" w:lastColumn="0" w:noHBand="0" w:noVBand="1"/>
      </w:tblPr>
      <w:tblGrid>
        <w:gridCol w:w="2194"/>
        <w:gridCol w:w="961"/>
        <w:gridCol w:w="965"/>
        <w:gridCol w:w="961"/>
        <w:gridCol w:w="833"/>
      </w:tblGrid>
      <w:tr>
        <w:trPr>
          <w:trHeight w:val="389"/>
        </w:trPr>
        <w:tc>
          <w:tcPr>
            <w:tcW w:w="21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spacing w:before="60" w:after="60"/>
              <w:jc w:val="center"/>
              <w:rPr>
                <w:rFonts w:cstheme="minorHAnsi"/>
                <w:bCs/>
                <w:sz w:val="18"/>
                <w:szCs w:val="18"/>
              </w:rPr>
            </w:pPr>
            <w:r>
              <w:rPr>
                <w:rFonts w:cstheme="minorHAnsi"/>
                <w:bCs/>
                <w:sz w:val="18"/>
                <w:szCs w:val="18"/>
              </w:rPr>
              <w:t>Kabupaten/Kota</w:t>
            </w:r>
          </w:p>
        </w:tc>
        <w:tc>
          <w:tcPr>
            <w:tcW w:w="1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spacing w:before="60" w:after="60"/>
              <w:jc w:val="center"/>
              <w:rPr>
                <w:rFonts w:cstheme="minorHAnsi"/>
                <w:bCs/>
                <w:sz w:val="18"/>
                <w:szCs w:val="18"/>
              </w:rPr>
            </w:pPr>
            <w:r>
              <w:rPr>
                <w:rFonts w:cstheme="minorHAnsi"/>
                <w:bCs/>
                <w:sz w:val="18"/>
                <w:szCs w:val="18"/>
              </w:rPr>
              <w:t>Laki-laki</w:t>
            </w:r>
          </w:p>
        </w:tc>
        <w:tc>
          <w:tcPr>
            <w:tcW w:w="17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spacing w:before="60" w:after="60"/>
              <w:jc w:val="center"/>
              <w:rPr>
                <w:rFonts w:cstheme="minorHAnsi"/>
                <w:bCs/>
                <w:sz w:val="18"/>
                <w:szCs w:val="18"/>
              </w:rPr>
            </w:pPr>
            <w:r>
              <w:rPr>
                <w:rFonts w:cstheme="minorHAnsi"/>
                <w:bCs/>
                <w:sz w:val="18"/>
                <w:szCs w:val="18"/>
              </w:rPr>
              <w:t>Perempuan</w:t>
            </w:r>
          </w:p>
        </w:tc>
      </w:tr>
      <w:tr>
        <w:trPr>
          <w:trHeight w:val="389"/>
        </w:trPr>
        <w:tc>
          <w:tcPr>
            <w:tcW w:w="21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lang w:val="en-US"/>
              </w:rPr>
            </w:pP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spacing w:before="60" w:after="60"/>
              <w:jc w:val="center"/>
              <w:rPr>
                <w:rFonts w:cstheme="minorHAnsi"/>
                <w:bCs/>
                <w:sz w:val="18"/>
                <w:szCs w:val="18"/>
              </w:rPr>
            </w:pPr>
            <w:r>
              <w:rPr>
                <w:rFonts w:cstheme="minorHAnsi"/>
                <w:bCs/>
                <w:sz w:val="18"/>
                <w:szCs w:val="18"/>
              </w:rPr>
              <w:t>2020</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spacing w:before="60" w:after="60"/>
              <w:jc w:val="center"/>
              <w:rPr>
                <w:rFonts w:cstheme="minorHAnsi"/>
                <w:bCs/>
                <w:sz w:val="18"/>
                <w:szCs w:val="18"/>
              </w:rPr>
            </w:pPr>
            <w:r>
              <w:rPr>
                <w:rFonts w:cstheme="minorHAnsi"/>
                <w:bCs/>
                <w:sz w:val="18"/>
                <w:szCs w:val="18"/>
              </w:rPr>
              <w:t>2021</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spacing w:before="60" w:after="60"/>
              <w:jc w:val="center"/>
              <w:rPr>
                <w:rFonts w:cstheme="minorHAnsi"/>
                <w:bCs/>
                <w:sz w:val="18"/>
                <w:szCs w:val="18"/>
              </w:rPr>
            </w:pPr>
            <w:r>
              <w:rPr>
                <w:rFonts w:cstheme="minorHAnsi"/>
                <w:bCs/>
                <w:sz w:val="18"/>
                <w:szCs w:val="18"/>
              </w:rPr>
              <w:t>2020</w:t>
            </w:r>
          </w:p>
        </w:tc>
        <w:tc>
          <w:tcPr>
            <w:tcW w:w="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spacing w:before="60" w:after="60"/>
              <w:jc w:val="center"/>
              <w:rPr>
                <w:rFonts w:cstheme="minorHAnsi"/>
                <w:bCs/>
                <w:sz w:val="18"/>
                <w:szCs w:val="18"/>
              </w:rPr>
            </w:pPr>
            <w:r>
              <w:rPr>
                <w:rFonts w:cstheme="minorHAnsi"/>
                <w:bCs/>
                <w:sz w:val="18"/>
                <w:szCs w:val="18"/>
              </w:rPr>
              <w:t>2021</w:t>
            </w:r>
          </w:p>
        </w:tc>
      </w:tr>
      <w:tr>
        <w:trPr>
          <w:trHeight w:val="216"/>
        </w:trPr>
        <w:tc>
          <w:tcPr>
            <w:tcW w:w="21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(1)</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(2)</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(3)</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(5)</w:t>
            </w:r>
          </w:p>
        </w:tc>
        <w:tc>
          <w:tcPr>
            <w:tcW w:w="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(6)</w:t>
            </w:r>
          </w:p>
        </w:tc>
      </w:tr>
      <w:tr>
        <w:trPr>
          <w:trHeight w:val="334"/>
        </w:trPr>
        <w:tc>
          <w:tcPr>
            <w:tcW w:w="2194"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cstheme="minorHAnsi"/>
                <w:sz w:val="18"/>
                <w:szCs w:val="18"/>
              </w:rPr>
              <w:t>Kotawaringin Barat</w:t>
            </w:r>
          </w:p>
        </w:tc>
        <w:tc>
          <w:tcPr>
            <w:tcW w:w="961"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3.553</w:t>
            </w:r>
          </w:p>
        </w:tc>
        <w:tc>
          <w:tcPr>
            <w:tcW w:w="965"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3.068</w:t>
            </w:r>
          </w:p>
        </w:tc>
        <w:tc>
          <w:tcPr>
            <w:tcW w:w="961"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6.193</w:t>
            </w:r>
          </w:p>
        </w:tc>
        <w:tc>
          <w:tcPr>
            <w:tcW w:w="833"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5.474</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cstheme="minorHAnsi"/>
                <w:sz w:val="18"/>
                <w:szCs w:val="18"/>
              </w:rPr>
              <w:t>Kotawaringin Timur</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8.899</w:t>
            </w:r>
          </w:p>
        </w:tc>
        <w:tc>
          <w:tcPr>
            <w:tcW w:w="9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10.459</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7.062</w:t>
            </w:r>
          </w:p>
        </w:tc>
        <w:tc>
          <w:tcPr>
            <w:tcW w:w="8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6.647</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cstheme="minorHAnsi"/>
                <w:sz w:val="18"/>
                <w:szCs w:val="18"/>
              </w:rPr>
              <w:t>Kapuas</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5.655</w:t>
            </w:r>
          </w:p>
        </w:tc>
        <w:tc>
          <w:tcPr>
            <w:tcW w:w="9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5.482</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7.978</w:t>
            </w:r>
          </w:p>
        </w:tc>
        <w:tc>
          <w:tcPr>
            <w:tcW w:w="8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8.516</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cstheme="minorHAnsi"/>
                <w:sz w:val="18"/>
                <w:szCs w:val="18"/>
              </w:rPr>
              <w:t>Barsel</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3.278</w:t>
            </w:r>
          </w:p>
        </w:tc>
        <w:tc>
          <w:tcPr>
            <w:tcW w:w="9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3.270</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3.897</w:t>
            </w:r>
          </w:p>
        </w:tc>
        <w:tc>
          <w:tcPr>
            <w:tcW w:w="8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3.795</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cstheme="minorHAnsi"/>
                <w:sz w:val="18"/>
                <w:szCs w:val="18"/>
              </w:rPr>
              <w:t>Barito Utara</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1.837</w:t>
            </w:r>
          </w:p>
        </w:tc>
        <w:tc>
          <w:tcPr>
            <w:tcW w:w="9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2.114</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3.606</w:t>
            </w:r>
          </w:p>
        </w:tc>
        <w:tc>
          <w:tcPr>
            <w:tcW w:w="8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3.684</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cstheme="minorHAnsi"/>
                <w:sz w:val="18"/>
                <w:szCs w:val="18"/>
              </w:rPr>
              <w:lastRenderedPageBreak/>
              <w:t>Sukamara</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1.540</w:t>
            </w:r>
          </w:p>
        </w:tc>
        <w:tc>
          <w:tcPr>
            <w:tcW w:w="9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1.276</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883</w:t>
            </w:r>
          </w:p>
        </w:tc>
        <w:tc>
          <w:tcPr>
            <w:tcW w:w="8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1.723</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cstheme="minorHAnsi"/>
                <w:sz w:val="18"/>
                <w:szCs w:val="18"/>
              </w:rPr>
              <w:t>Lamandau</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1.632</w:t>
            </w:r>
          </w:p>
        </w:tc>
        <w:tc>
          <w:tcPr>
            <w:tcW w:w="9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1.476</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1.861</w:t>
            </w:r>
          </w:p>
        </w:tc>
        <w:tc>
          <w:tcPr>
            <w:tcW w:w="8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2.098</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cstheme="minorHAnsi"/>
                <w:sz w:val="18"/>
                <w:szCs w:val="18"/>
              </w:rPr>
              <w:t>Seruyan</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3.223</w:t>
            </w:r>
          </w:p>
        </w:tc>
        <w:tc>
          <w:tcPr>
            <w:tcW w:w="9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4.092</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4.557</w:t>
            </w:r>
          </w:p>
        </w:tc>
        <w:tc>
          <w:tcPr>
            <w:tcW w:w="8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4.497</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cstheme="minorHAnsi"/>
                <w:sz w:val="18"/>
                <w:szCs w:val="18"/>
              </w:rPr>
              <w:t>Katingan</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3.308</w:t>
            </w:r>
          </w:p>
        </w:tc>
        <w:tc>
          <w:tcPr>
            <w:tcW w:w="9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2.676</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2.847</w:t>
            </w:r>
          </w:p>
        </w:tc>
        <w:tc>
          <w:tcPr>
            <w:tcW w:w="8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3.978</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cstheme="minorHAnsi"/>
                <w:sz w:val="18"/>
                <w:szCs w:val="18"/>
              </w:rPr>
              <w:t>Pulang Pisau</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2.109</w:t>
            </w:r>
          </w:p>
        </w:tc>
        <w:tc>
          <w:tcPr>
            <w:tcW w:w="9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2.365</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2.597</w:t>
            </w:r>
          </w:p>
        </w:tc>
        <w:tc>
          <w:tcPr>
            <w:tcW w:w="8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2.798</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cstheme="minorHAnsi"/>
                <w:sz w:val="18"/>
                <w:szCs w:val="18"/>
              </w:rPr>
              <w:t>Gumas</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4.566</w:t>
            </w:r>
          </w:p>
        </w:tc>
        <w:tc>
          <w:tcPr>
            <w:tcW w:w="9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2.966</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3.262</w:t>
            </w:r>
          </w:p>
        </w:tc>
        <w:tc>
          <w:tcPr>
            <w:tcW w:w="8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2.785</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cstheme="minorHAnsi"/>
                <w:sz w:val="18"/>
                <w:szCs w:val="18"/>
              </w:rPr>
              <w:t>Barito Timur</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2.648</w:t>
            </w:r>
          </w:p>
        </w:tc>
        <w:tc>
          <w:tcPr>
            <w:tcW w:w="9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3.122</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3.267</w:t>
            </w:r>
          </w:p>
        </w:tc>
        <w:tc>
          <w:tcPr>
            <w:tcW w:w="8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3.546</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sz w:val="18"/>
                <w:szCs w:val="18"/>
              </w:rPr>
            </w:pPr>
            <w:r>
              <w:rPr>
                <w:rFonts w:cstheme="minorHAnsi"/>
                <w:sz w:val="18"/>
                <w:szCs w:val="18"/>
              </w:rPr>
              <w:t>Mura</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2.138</w:t>
            </w:r>
          </w:p>
        </w:tc>
        <w:tc>
          <w:tcPr>
            <w:tcW w:w="9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2.214</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2.800</w:t>
            </w:r>
          </w:p>
        </w:tc>
        <w:tc>
          <w:tcPr>
            <w:tcW w:w="8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3.610</w:t>
            </w:r>
          </w:p>
        </w:tc>
      </w:tr>
      <w:tr>
        <w:trPr>
          <w:trHeight w:val="334"/>
        </w:trPr>
        <w:tc>
          <w:tcPr>
            <w:tcW w:w="21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spacing w:before="60" w:after="60"/>
              <w:jc w:val="both"/>
              <w:rPr>
                <w:rFonts w:cstheme="minorHAnsi"/>
                <w:sz w:val="18"/>
                <w:szCs w:val="18"/>
              </w:rPr>
            </w:pPr>
            <w:r>
              <w:rPr>
                <w:rFonts w:cstheme="minorHAnsi"/>
                <w:sz w:val="18"/>
                <w:szCs w:val="18"/>
              </w:rPr>
              <w:t>Palangka Raya</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9.705</w:t>
            </w:r>
          </w:p>
        </w:tc>
        <w:tc>
          <w:tcPr>
            <w:tcW w:w="96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9.637</w:t>
            </w:r>
          </w:p>
        </w:tc>
        <w:tc>
          <w:tcPr>
            <w:tcW w:w="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9.368</w:t>
            </w:r>
          </w:p>
        </w:tc>
        <w:tc>
          <w:tcPr>
            <w:tcW w:w="8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10.022</w:t>
            </w:r>
          </w:p>
        </w:tc>
      </w:tr>
      <w:tr>
        <w:trPr>
          <w:trHeight w:val="389"/>
        </w:trPr>
        <w:tc>
          <w:tcPr>
            <w:tcW w:w="219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spacing w:before="60" w:after="60"/>
              <w:jc w:val="both"/>
              <w:rPr>
                <w:rFonts w:cstheme="minorHAnsi"/>
                <w:bCs/>
                <w:sz w:val="18"/>
                <w:szCs w:val="18"/>
              </w:rPr>
            </w:pPr>
            <w:r>
              <w:rPr>
                <w:rFonts w:cstheme="minorHAnsi"/>
                <w:bCs/>
                <w:sz w:val="18"/>
                <w:szCs w:val="18"/>
              </w:rPr>
              <w:t>Kalimantan Tengah</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54.091</w:t>
            </w:r>
          </w:p>
        </w:tc>
        <w:tc>
          <w:tcPr>
            <w:tcW w:w="9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54.217</w:t>
            </w:r>
          </w:p>
        </w:tc>
        <w:tc>
          <w:tcPr>
            <w:tcW w:w="96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60.178</w:t>
            </w:r>
          </w:p>
        </w:tc>
        <w:tc>
          <w:tcPr>
            <w:tcW w:w="83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63.173</w:t>
            </w:r>
          </w:p>
        </w:tc>
      </w:tr>
    </w:tbl>
    <w:p>
      <w:pPr>
        <w:pStyle w:val="Caption"/>
        <w:ind w:left="284"/>
        <w:jc w:val="both"/>
        <w:rPr>
          <w:iCs w:val="0"/>
          <w:color w:val="auto"/>
          <w:lang w:val="en-US"/>
        </w:rPr>
      </w:pPr>
      <w:r>
        <w:rPr>
          <w:iCs w:val="0"/>
          <w:color w:val="auto"/>
        </w:rPr>
        <w:t>Sumber: BPS, Sakernas Agustus 2020 - 2021</w:t>
      </w: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Tabel 7.6 menyajikan perkembangan data penduduk Kalimantan Tengah yang bekerja sebagai pekerja profesional dan managerial menurut jenis kelamin dan Kabupaten/Kota dalam waktu </w:t>
      </w:r>
      <w:r>
        <w:rPr>
          <w:rFonts w:asciiTheme="minorHAnsi" w:hAnsiTheme="minorHAnsi"/>
          <w:sz w:val="20"/>
          <w:szCs w:val="20"/>
          <w:lang w:val="id-ID"/>
        </w:rPr>
        <w:t>dua</w:t>
      </w:r>
      <w:r>
        <w:rPr>
          <w:rFonts w:asciiTheme="minorHAnsi" w:hAnsiTheme="minorHAnsi"/>
          <w:sz w:val="20"/>
          <w:szCs w:val="20"/>
        </w:rPr>
        <w:t xml:space="preserve"> tahun </w:t>
      </w:r>
      <w:r>
        <w:rPr>
          <w:rFonts w:asciiTheme="minorHAnsi" w:hAnsiTheme="minorHAnsi"/>
          <w:sz w:val="20"/>
          <w:szCs w:val="20"/>
          <w:lang w:val="id-ID"/>
        </w:rPr>
        <w:t>(20</w:t>
      </w:r>
      <w:r>
        <w:rPr>
          <w:rFonts w:asciiTheme="minorHAnsi" w:hAnsiTheme="minorHAnsi"/>
          <w:sz w:val="20"/>
          <w:szCs w:val="20"/>
          <w:lang w:val="en-ID"/>
        </w:rPr>
        <w:t>20</w:t>
      </w:r>
      <w:r>
        <w:rPr>
          <w:rFonts w:asciiTheme="minorHAnsi" w:hAnsiTheme="minorHAnsi"/>
          <w:sz w:val="20"/>
          <w:szCs w:val="20"/>
          <w:lang w:val="id-ID"/>
        </w:rPr>
        <w:t>-20</w:t>
      </w:r>
      <w:r>
        <w:rPr>
          <w:rFonts w:asciiTheme="minorHAnsi" w:hAnsiTheme="minorHAnsi"/>
          <w:sz w:val="20"/>
          <w:szCs w:val="20"/>
          <w:lang w:val="en-ID"/>
        </w:rPr>
        <w:t>21</w:t>
      </w:r>
      <w:r>
        <w:rPr>
          <w:rFonts w:asciiTheme="minorHAnsi" w:hAnsiTheme="minorHAnsi"/>
          <w:sz w:val="20"/>
          <w:szCs w:val="20"/>
          <w:lang w:val="id-ID"/>
        </w:rPr>
        <w:t>)</w:t>
      </w:r>
      <w:r>
        <w:rPr>
          <w:rFonts w:asciiTheme="minorHAnsi" w:hAnsiTheme="minorHAnsi"/>
          <w:sz w:val="20"/>
          <w:szCs w:val="20"/>
        </w:rPr>
        <w:t xml:space="preserve">. Secara umum, terjadi peningkatan jumlah pekerja professional dan managerial baik laki-laki maupun perempuan di Provinsi Kalimantan Tengah, khususnya pekerja profesional dan managerial perempuan. Pertambahan ini cukup signifikan dalam satu tahun terakhir. Tahun 2020 pekerja profesional dan managerial perempuan berjumlah </w:t>
      </w:r>
      <w:r>
        <w:rPr>
          <w:rFonts w:asciiTheme="minorHAnsi" w:hAnsiTheme="minorHAnsi"/>
          <w:sz w:val="20"/>
          <w:szCs w:val="20"/>
          <w:lang w:val="en-ID"/>
        </w:rPr>
        <w:t>60.178</w:t>
      </w:r>
      <w:r>
        <w:rPr>
          <w:rFonts w:asciiTheme="minorHAnsi" w:hAnsiTheme="minorHAnsi"/>
          <w:sz w:val="20"/>
          <w:szCs w:val="20"/>
        </w:rPr>
        <w:t xml:space="preserve"> orang, kemudian bertambah 4,98 persen menjadi </w:t>
      </w:r>
      <w:r>
        <w:rPr>
          <w:rFonts w:asciiTheme="minorHAnsi" w:hAnsiTheme="minorHAnsi"/>
          <w:sz w:val="20"/>
          <w:szCs w:val="20"/>
          <w:lang w:val="en-ID"/>
        </w:rPr>
        <w:t>63.173</w:t>
      </w:r>
      <w:r>
        <w:rPr>
          <w:rFonts w:asciiTheme="minorHAnsi" w:hAnsiTheme="minorHAnsi"/>
          <w:sz w:val="20"/>
          <w:szCs w:val="20"/>
        </w:rPr>
        <w:t xml:space="preserve"> orang di tahun 2021. Hal ini menggambarkan ada peningkatan kualitas pekerja perempuan di Kalimantan Tengah.</w:t>
      </w: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Bila dilihat menurut kabupaten/kota, peningkatan jumlah pekerja profesional dan managerial perempuan di tahun 2021 terjadi di </w:t>
      </w:r>
      <w:r>
        <w:rPr>
          <w:rFonts w:asciiTheme="minorHAnsi" w:hAnsiTheme="minorHAnsi"/>
          <w:sz w:val="20"/>
          <w:szCs w:val="20"/>
          <w:lang w:val="id-ID"/>
        </w:rPr>
        <w:t>beberapa</w:t>
      </w:r>
      <w:r>
        <w:rPr>
          <w:rFonts w:asciiTheme="minorHAnsi" w:hAnsiTheme="minorHAnsi"/>
          <w:sz w:val="20"/>
          <w:szCs w:val="20"/>
        </w:rPr>
        <w:t xml:space="preserve"> kabupaten/kota di Kalimantan Tengah. Wilayah dengan peningkatan jumlah pekerja professional dan managerial perempuan tertinggi adalah Kabupaten </w:t>
      </w:r>
      <w:r>
        <w:rPr>
          <w:rFonts w:asciiTheme="minorHAnsi" w:hAnsiTheme="minorHAnsi"/>
          <w:sz w:val="20"/>
          <w:szCs w:val="20"/>
        </w:rPr>
        <w:lastRenderedPageBreak/>
        <w:t>Sukamara, yaitu mencapai 95,13 persen dari 883 orang di tahun 2020 menjadi 1.723 orang di tahun 2021.</w:t>
      </w:r>
    </w:p>
    <w:p>
      <w:pPr>
        <w:pStyle w:val="BodyTextIndent2"/>
        <w:spacing w:after="0" w:line="360" w:lineRule="auto"/>
        <w:ind w:left="0" w:firstLine="709"/>
        <w:jc w:val="both"/>
        <w:rPr>
          <w:rFonts w:asciiTheme="minorHAnsi" w:hAnsiTheme="minorHAnsi"/>
          <w:color w:val="FF0000"/>
          <w:sz w:val="20"/>
          <w:szCs w:val="20"/>
        </w:rPr>
      </w:pPr>
    </w:p>
    <w:p>
      <w:pPr>
        <w:pStyle w:val="Heading2"/>
        <w:numPr>
          <w:ilvl w:val="1"/>
          <w:numId w:val="21"/>
        </w:numPr>
        <w:ind w:left="709" w:hanging="425"/>
        <w:jc w:val="both"/>
        <w:rPr>
          <w:rFonts w:asciiTheme="minorHAnsi" w:hAnsiTheme="minorHAnsi" w:cstheme="minorHAnsi"/>
          <w:sz w:val="20"/>
          <w:szCs w:val="20"/>
          <w:lang w:val="en-US"/>
        </w:rPr>
      </w:pPr>
      <w:bookmarkStart w:id="118" w:name="_Toc118716006"/>
      <w:r>
        <w:rPr>
          <w:rFonts w:asciiTheme="minorHAnsi" w:hAnsiTheme="minorHAnsi" w:cstheme="minorHAnsi"/>
          <w:sz w:val="20"/>
          <w:szCs w:val="20"/>
          <w:lang w:val="en-US"/>
        </w:rPr>
        <w:t>Pengangguran</w:t>
      </w:r>
      <w:bookmarkEnd w:id="118"/>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Penduduk usia kerja yang sedang mencari pekerjaan dalam profil ini  diklasifikasikan sebagai penganggur. Di Indonesia yang tidak mempunyai sistem tunjangan pengangguran, mencari pekerjaan atau menganggur  merupakan barang yang mahal. Penduduk yang tidak/ kurang mempunyai dukungan finansial akan segera menerima pekerjaan yang ditawarkan, kendati pekerjaan tersebut  tidak  sesuai dengan keinginannya. Sambil bekerja mereka mungkin  terus  mencari kerja. Dengan konsep bekerja  yang digunakan di Indonesia, mereka yang bekerja sambil mencari pekerjaan  tidak dikategorikan sebagai penganggur. </w:t>
      </w:r>
    </w:p>
    <w:p>
      <w:pPr>
        <w:pStyle w:val="BodyTextIndent2"/>
        <w:tabs>
          <w:tab w:val="left" w:pos="720"/>
        </w:tabs>
        <w:spacing w:line="360" w:lineRule="auto"/>
        <w:ind w:left="284" w:firstLine="567"/>
        <w:jc w:val="both"/>
        <w:rPr>
          <w:rFonts w:asciiTheme="minorHAnsi" w:hAnsiTheme="minorHAnsi"/>
          <w:sz w:val="20"/>
          <w:szCs w:val="20"/>
        </w:rPr>
      </w:pPr>
      <w:r>
        <w:rPr>
          <w:rFonts w:asciiTheme="minorHAnsi" w:hAnsiTheme="minorHAnsi"/>
          <w:sz w:val="20"/>
          <w:szCs w:val="20"/>
        </w:rPr>
        <w:t>Sektor non-pertanian yang merupakan salah satu ciri daerah perkotaan, daya serap kesempatan kerjanya lebih rendah dibanding sektor pertanian di daerah pedesaan. Hal ini terkait dengan  tingginya tingkat pengangguran di kalangan orang muda dan terdidik di daerah perkotaan. Berbagai  kendala, seperti terbatasnya kesempatan kerja, kurangnya kualifikasi yang diperlukan untuk memasuki pasar kerja, dan sebagainya.</w:t>
      </w:r>
    </w:p>
    <w:p>
      <w:pPr>
        <w:pStyle w:val="Caption"/>
        <w:ind w:left="1418" w:hanging="1134"/>
        <w:jc w:val="both"/>
        <w:rPr>
          <w:b/>
          <w:bCs/>
          <w:i w:val="0"/>
          <w:iCs w:val="0"/>
          <w:color w:val="auto"/>
          <w:sz w:val="20"/>
          <w:szCs w:val="20"/>
        </w:rPr>
      </w:pPr>
      <w:bookmarkStart w:id="119" w:name="_Toc117519631"/>
      <w:r>
        <w:rPr>
          <w:b/>
          <w:bCs/>
          <w:i w:val="0"/>
          <w:iCs w:val="0"/>
          <w:color w:val="auto"/>
          <w:sz w:val="20"/>
          <w:szCs w:val="20"/>
        </w:rPr>
        <w:t xml:space="preserve">Gambar 7. </w:t>
      </w:r>
      <w:r>
        <w:rPr>
          <w:b/>
          <w:bCs/>
          <w:i w:val="0"/>
          <w:iCs w:val="0"/>
          <w:color w:val="auto"/>
          <w:sz w:val="20"/>
          <w:szCs w:val="20"/>
        </w:rPr>
        <w:fldChar w:fldCharType="begin"/>
      </w:r>
      <w:r>
        <w:rPr>
          <w:b/>
          <w:bCs/>
          <w:i w:val="0"/>
          <w:iCs w:val="0"/>
          <w:color w:val="auto"/>
          <w:sz w:val="20"/>
          <w:szCs w:val="20"/>
        </w:rPr>
        <w:instrText xml:space="preserve"> SEQ Gambar_7. \* ARABIC </w:instrText>
      </w:r>
      <w:r>
        <w:rPr>
          <w:b/>
          <w:bCs/>
          <w:i w:val="0"/>
          <w:iCs w:val="0"/>
          <w:color w:val="auto"/>
          <w:sz w:val="20"/>
          <w:szCs w:val="20"/>
        </w:rPr>
        <w:fldChar w:fldCharType="separate"/>
      </w:r>
      <w:r>
        <w:rPr>
          <w:b/>
          <w:bCs/>
          <w:i w:val="0"/>
          <w:iCs w:val="0"/>
          <w:noProof/>
          <w:color w:val="auto"/>
          <w:sz w:val="20"/>
          <w:szCs w:val="20"/>
        </w:rPr>
        <w:t>4</w:t>
      </w:r>
      <w:r>
        <w:rPr>
          <w:b/>
          <w:bCs/>
          <w:i w:val="0"/>
          <w:iCs w:val="0"/>
          <w:color w:val="auto"/>
          <w:sz w:val="20"/>
          <w:szCs w:val="20"/>
        </w:rPr>
        <w:fldChar w:fldCharType="end"/>
      </w:r>
      <w:r>
        <w:rPr>
          <w:b/>
          <w:bCs/>
          <w:i w:val="0"/>
          <w:iCs w:val="0"/>
          <w:color w:val="auto"/>
          <w:sz w:val="20"/>
          <w:szCs w:val="20"/>
        </w:rPr>
        <w:tab/>
        <w:t>Perkembangan TPT Provinsi Kalimantan Tengah, 2019-2021</w:t>
      </w:r>
      <w:bookmarkEnd w:id="119"/>
    </w:p>
    <w:p>
      <w:r>
        <w:rPr>
          <w:noProof/>
          <w:lang w:val="en-ID" w:eastAsia="en-ID"/>
        </w:rPr>
        <w:drawing>
          <wp:anchor distT="0" distB="0" distL="114300" distR="114300" simplePos="0" relativeHeight="251657216" behindDoc="0" locked="0" layoutInCell="1" allowOverlap="1">
            <wp:simplePos x="0" y="0"/>
            <wp:positionH relativeFrom="column">
              <wp:posOffset>161925</wp:posOffset>
            </wp:positionH>
            <wp:positionV relativeFrom="paragraph">
              <wp:posOffset>20320</wp:posOffset>
            </wp:positionV>
            <wp:extent cx="3703320" cy="2438400"/>
            <wp:effectExtent l="0" t="0" r="0" b="0"/>
            <wp:wrapNone/>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3EB036-1592-DBD6-53CC-58634130F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p/>
    <w:p/>
    <w:p/>
    <w:p/>
    <w:p/>
    <w:p>
      <w:pPr>
        <w:jc w:val="both"/>
        <w:rPr>
          <w:lang w:val="en-US"/>
        </w:rPr>
      </w:pPr>
    </w:p>
    <w:p>
      <w:pPr>
        <w:tabs>
          <w:tab w:val="left" w:pos="1134"/>
        </w:tabs>
        <w:ind w:left="1134" w:hanging="850"/>
        <w:jc w:val="both"/>
        <w:rPr>
          <w:rFonts w:cstheme="minorHAnsi"/>
          <w:sz w:val="18"/>
          <w:szCs w:val="18"/>
          <w:lang w:eastAsia="id-ID"/>
        </w:rPr>
      </w:pPr>
      <w:r>
        <w:rPr>
          <w:i/>
          <w:sz w:val="18"/>
          <w:szCs w:val="18"/>
        </w:rPr>
        <w:t>Sumber: BPS, Sakernas Agustus 2020-2021</w:t>
      </w:r>
    </w:p>
    <w:p>
      <w:pPr>
        <w:pStyle w:val="BodyTextIndent2"/>
        <w:spacing w:line="360" w:lineRule="auto"/>
        <w:ind w:left="284" w:firstLine="567"/>
        <w:jc w:val="both"/>
        <w:rPr>
          <w:rFonts w:asciiTheme="minorHAnsi" w:hAnsiTheme="minorHAnsi"/>
          <w:sz w:val="20"/>
          <w:szCs w:val="20"/>
        </w:rPr>
      </w:pPr>
      <w:r>
        <w:rPr>
          <w:rFonts w:asciiTheme="minorHAnsi" w:hAnsiTheme="minorHAnsi"/>
          <w:sz w:val="20"/>
          <w:szCs w:val="20"/>
        </w:rPr>
        <w:t>Tingkat Pengangguran Terbuka (TPT) Kalimatan Tengah pada tahun 20</w:t>
      </w:r>
      <w:r>
        <w:rPr>
          <w:rFonts w:asciiTheme="minorHAnsi" w:hAnsiTheme="minorHAnsi"/>
          <w:sz w:val="20"/>
          <w:szCs w:val="20"/>
          <w:lang w:val="id-ID"/>
        </w:rPr>
        <w:t>1</w:t>
      </w:r>
      <w:r>
        <w:rPr>
          <w:rFonts w:asciiTheme="minorHAnsi" w:hAnsiTheme="minorHAnsi"/>
          <w:sz w:val="20"/>
          <w:szCs w:val="20"/>
          <w:lang w:val="en-ID"/>
        </w:rPr>
        <w:t>9</w:t>
      </w:r>
      <w:r>
        <w:rPr>
          <w:rFonts w:asciiTheme="minorHAnsi" w:hAnsiTheme="minorHAnsi"/>
          <w:sz w:val="20"/>
          <w:szCs w:val="20"/>
        </w:rPr>
        <w:t xml:space="preserve">-2020 meningkat 0,54 persen poin, dan di periode 2020-2021 turun 0,05 persen poin. Peningkatan pengangguran di tahun 2020 tidak dapat dihindari akibat adanya pandemi covid-19 yang berdampak pada ketenagakerjaan. Nilai TPT tahun 2021 di Kalimantan Tengah adalah 4,53 persen, hal ini berarti bahwa terdapat 4 sampai 5 orang penganggur pada setiap 100 orang Angkatan kerja. </w:t>
      </w:r>
    </w:p>
    <w:p>
      <w:pPr>
        <w:pStyle w:val="Caption"/>
        <w:ind w:left="1418" w:hanging="1134"/>
        <w:jc w:val="both"/>
        <w:rPr>
          <w:rFonts w:cstheme="minorHAnsi"/>
          <w:b/>
          <w:bCs/>
          <w:i w:val="0"/>
          <w:iCs w:val="0"/>
          <w:color w:val="auto"/>
          <w:sz w:val="20"/>
          <w:szCs w:val="20"/>
          <w:lang w:eastAsia="id-ID"/>
        </w:rPr>
      </w:pPr>
      <w:bookmarkStart w:id="120" w:name="_Toc117519553"/>
      <w:r>
        <w:rPr>
          <w:b/>
          <w:bCs/>
          <w:i w:val="0"/>
          <w:iCs w:val="0"/>
          <w:color w:val="auto"/>
          <w:sz w:val="20"/>
          <w:szCs w:val="20"/>
        </w:rPr>
        <w:t xml:space="preserve">Tabel 7. </w:t>
      </w:r>
      <w:r>
        <w:rPr>
          <w:b/>
          <w:bCs/>
          <w:i w:val="0"/>
          <w:iCs w:val="0"/>
          <w:color w:val="auto"/>
          <w:sz w:val="20"/>
          <w:szCs w:val="20"/>
        </w:rPr>
        <w:fldChar w:fldCharType="begin"/>
      </w:r>
      <w:r>
        <w:rPr>
          <w:b/>
          <w:bCs/>
          <w:i w:val="0"/>
          <w:iCs w:val="0"/>
          <w:color w:val="auto"/>
          <w:sz w:val="20"/>
          <w:szCs w:val="20"/>
        </w:rPr>
        <w:instrText xml:space="preserve"> SEQ Tabel_7. \* ARABIC </w:instrText>
      </w:r>
      <w:r>
        <w:rPr>
          <w:b/>
          <w:bCs/>
          <w:i w:val="0"/>
          <w:iCs w:val="0"/>
          <w:color w:val="auto"/>
          <w:sz w:val="20"/>
          <w:szCs w:val="20"/>
        </w:rPr>
        <w:fldChar w:fldCharType="separate"/>
      </w:r>
      <w:r>
        <w:rPr>
          <w:b/>
          <w:bCs/>
          <w:i w:val="0"/>
          <w:iCs w:val="0"/>
          <w:noProof/>
          <w:color w:val="auto"/>
          <w:sz w:val="20"/>
          <w:szCs w:val="20"/>
        </w:rPr>
        <w:t>7</w:t>
      </w:r>
      <w:r>
        <w:rPr>
          <w:b/>
          <w:bCs/>
          <w:i w:val="0"/>
          <w:iCs w:val="0"/>
          <w:color w:val="auto"/>
          <w:sz w:val="20"/>
          <w:szCs w:val="20"/>
        </w:rPr>
        <w:fldChar w:fldCharType="end"/>
      </w:r>
      <w:r>
        <w:rPr>
          <w:b/>
          <w:bCs/>
          <w:i w:val="0"/>
          <w:iCs w:val="0"/>
          <w:color w:val="auto"/>
          <w:sz w:val="20"/>
          <w:szCs w:val="20"/>
        </w:rPr>
        <w:tab/>
        <w:t>Tingkat Pengangguran Terbuka (TPT) menurut Kelompok Umur, 2021</w:t>
      </w:r>
      <w:bookmarkEnd w:id="120"/>
    </w:p>
    <w:tbl>
      <w:tblPr>
        <w:tblStyle w:val="TableGrid"/>
        <w:tblpPr w:leftFromText="180" w:rightFromText="180" w:vertAnchor="text" w:tblpX="358" w:tblpY="1"/>
        <w:tblW w:w="5851" w:type="dxa"/>
        <w:tblLayout w:type="fixed"/>
        <w:tblLook w:val="04A0" w:firstRow="1" w:lastRow="0" w:firstColumn="1" w:lastColumn="0" w:noHBand="0" w:noVBand="1"/>
      </w:tblPr>
      <w:tblGrid>
        <w:gridCol w:w="1279"/>
        <w:gridCol w:w="1141"/>
        <w:gridCol w:w="1144"/>
        <w:gridCol w:w="1143"/>
        <w:gridCol w:w="1144"/>
      </w:tblGrid>
      <w:tr>
        <w:trPr>
          <w:trHeight w:val="449"/>
        </w:trPr>
        <w:tc>
          <w:tcPr>
            <w:tcW w:w="127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Golongan Umur</w:t>
            </w:r>
          </w:p>
        </w:tc>
        <w:tc>
          <w:tcPr>
            <w:tcW w:w="22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Laki-laki</w:t>
            </w:r>
          </w:p>
        </w:tc>
        <w:tc>
          <w:tcPr>
            <w:tcW w:w="228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noWrap/>
            <w:vAlign w:val="center"/>
            <w:hideMark/>
          </w:tcPr>
          <w:p>
            <w:pPr>
              <w:jc w:val="center"/>
              <w:rPr>
                <w:rFonts w:cstheme="minorHAnsi"/>
                <w:bCs/>
                <w:sz w:val="18"/>
                <w:szCs w:val="18"/>
              </w:rPr>
            </w:pPr>
            <w:r>
              <w:rPr>
                <w:rFonts w:cstheme="minorHAnsi"/>
                <w:bCs/>
                <w:sz w:val="18"/>
                <w:szCs w:val="18"/>
              </w:rPr>
              <w:t>Perempuan</w:t>
            </w:r>
          </w:p>
        </w:tc>
      </w:tr>
      <w:tr>
        <w:trPr>
          <w:trHeight w:val="449"/>
        </w:trPr>
        <w:tc>
          <w:tcPr>
            <w:tcW w:w="127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lang w:val="en-US"/>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Jumlah</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noWrap/>
            <w:vAlign w:val="center"/>
            <w:hideMark/>
          </w:tcPr>
          <w:p>
            <w:pPr>
              <w:jc w:val="center"/>
              <w:rPr>
                <w:rFonts w:cstheme="minorHAnsi"/>
                <w:bCs/>
                <w:sz w:val="18"/>
                <w:szCs w:val="18"/>
              </w:rPr>
            </w:pPr>
            <w:r>
              <w:rPr>
                <w:rFonts w:cstheme="minorHAnsi"/>
                <w:bCs/>
                <w:sz w:val="18"/>
                <w:szCs w:val="18"/>
              </w:rPr>
              <w:t>%</w:t>
            </w:r>
          </w:p>
        </w:tc>
        <w:tc>
          <w:tcPr>
            <w:tcW w:w="1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Jumlah</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noWrap/>
            <w:vAlign w:val="center"/>
            <w:hideMark/>
          </w:tcPr>
          <w:p>
            <w:pPr>
              <w:jc w:val="center"/>
              <w:rPr>
                <w:rFonts w:cstheme="minorHAnsi"/>
                <w:bCs/>
                <w:sz w:val="18"/>
                <w:szCs w:val="18"/>
              </w:rPr>
            </w:pPr>
            <w:r>
              <w:rPr>
                <w:rFonts w:cstheme="minorHAnsi"/>
                <w:bCs/>
                <w:sz w:val="18"/>
                <w:szCs w:val="18"/>
              </w:rPr>
              <w:t>%</w:t>
            </w:r>
          </w:p>
        </w:tc>
      </w:tr>
      <w:tr>
        <w:trPr>
          <w:trHeight w:val="302"/>
        </w:trPr>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(1)</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(2)</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noWrap/>
            <w:vAlign w:val="center"/>
            <w:hideMark/>
          </w:tcPr>
          <w:p>
            <w:pPr>
              <w:jc w:val="center"/>
              <w:rPr>
                <w:rFonts w:cstheme="minorHAnsi"/>
                <w:bCs/>
                <w:sz w:val="18"/>
                <w:szCs w:val="18"/>
              </w:rPr>
            </w:pPr>
            <w:r>
              <w:rPr>
                <w:rFonts w:cstheme="minorHAnsi"/>
                <w:bCs/>
                <w:sz w:val="18"/>
                <w:szCs w:val="18"/>
              </w:rPr>
              <w:t>(3)</w:t>
            </w:r>
          </w:p>
        </w:tc>
        <w:tc>
          <w:tcPr>
            <w:tcW w:w="1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sz w:val="18"/>
                <w:szCs w:val="18"/>
              </w:rPr>
            </w:pPr>
            <w:r>
              <w:rPr>
                <w:rFonts w:cstheme="minorHAnsi"/>
                <w:bCs/>
                <w:sz w:val="18"/>
                <w:szCs w:val="18"/>
              </w:rPr>
              <w:t>(4)</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noWrap/>
            <w:vAlign w:val="center"/>
            <w:hideMark/>
          </w:tcPr>
          <w:p>
            <w:pPr>
              <w:jc w:val="center"/>
              <w:rPr>
                <w:rFonts w:cstheme="minorHAnsi"/>
                <w:bCs/>
                <w:sz w:val="18"/>
                <w:szCs w:val="18"/>
              </w:rPr>
            </w:pPr>
            <w:r>
              <w:rPr>
                <w:rFonts w:cstheme="minorHAnsi"/>
                <w:bCs/>
                <w:sz w:val="18"/>
                <w:szCs w:val="18"/>
              </w:rPr>
              <w:t>(5)</w:t>
            </w:r>
          </w:p>
        </w:tc>
      </w:tr>
      <w:tr>
        <w:trPr>
          <w:trHeight w:hRule="exact" w:val="383"/>
        </w:trPr>
        <w:tc>
          <w:tcPr>
            <w:tcW w:w="1279"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lang w:val="en-AU"/>
              </w:rPr>
              <w:t>15-19</w:t>
            </w:r>
          </w:p>
        </w:tc>
        <w:tc>
          <w:tcPr>
            <w:tcW w:w="1141"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8.123</w:t>
            </w:r>
          </w:p>
        </w:tc>
        <w:tc>
          <w:tcPr>
            <w:tcW w:w="1144"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20,57</w:t>
            </w:r>
          </w:p>
        </w:tc>
        <w:tc>
          <w:tcPr>
            <w:tcW w:w="1143"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3.597</w:t>
            </w:r>
          </w:p>
        </w:tc>
        <w:tc>
          <w:tcPr>
            <w:tcW w:w="1144" w:type="dxa"/>
            <w:tcBorders>
              <w:top w:val="single" w:sz="4" w:space="0" w:color="FFFFFF" w:themeColor="background1"/>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15,99</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lang w:val="en-AU"/>
              </w:rPr>
              <w:t>20-24</w:t>
            </w:r>
          </w:p>
        </w:tc>
        <w:tc>
          <w:tcPr>
            <w:tcW w:w="114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13.989</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15,58</w:t>
            </w:r>
          </w:p>
        </w:tc>
        <w:tc>
          <w:tcPr>
            <w:tcW w:w="11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6.959</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13,63</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lang w:val="en-AU"/>
              </w:rPr>
              <w:t>25-29</w:t>
            </w:r>
          </w:p>
        </w:tc>
        <w:tc>
          <w:tcPr>
            <w:tcW w:w="114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7.522</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6,98</w:t>
            </w:r>
          </w:p>
        </w:tc>
        <w:tc>
          <w:tcPr>
            <w:tcW w:w="11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3.833</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6,06</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lang w:val="en-AU"/>
              </w:rPr>
              <w:lastRenderedPageBreak/>
              <w:t>30-34</w:t>
            </w:r>
          </w:p>
        </w:tc>
        <w:tc>
          <w:tcPr>
            <w:tcW w:w="114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3.108</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2,81</w:t>
            </w:r>
          </w:p>
        </w:tc>
        <w:tc>
          <w:tcPr>
            <w:tcW w:w="11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3.511</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6,05</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lang w:val="en-AU"/>
              </w:rPr>
              <w:t>35-39</w:t>
            </w:r>
          </w:p>
        </w:tc>
        <w:tc>
          <w:tcPr>
            <w:tcW w:w="114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2.135</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1,93</w:t>
            </w:r>
          </w:p>
        </w:tc>
        <w:tc>
          <w:tcPr>
            <w:tcW w:w="11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2.395</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4,07</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lang w:val="en-AU"/>
              </w:rPr>
              <w:t>40-44</w:t>
            </w:r>
          </w:p>
        </w:tc>
        <w:tc>
          <w:tcPr>
            <w:tcW w:w="114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1.273</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1,19</w:t>
            </w:r>
          </w:p>
        </w:tc>
        <w:tc>
          <w:tcPr>
            <w:tcW w:w="11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1.208</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1,77</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lang w:val="en-AU"/>
              </w:rPr>
              <w:t>45-49</w:t>
            </w:r>
          </w:p>
        </w:tc>
        <w:tc>
          <w:tcPr>
            <w:tcW w:w="114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1.366</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1,33</w:t>
            </w:r>
          </w:p>
        </w:tc>
        <w:tc>
          <w:tcPr>
            <w:tcW w:w="11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1.812</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2,98</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lang w:val="en-AU"/>
              </w:rPr>
              <w:t>50-54</w:t>
            </w:r>
          </w:p>
        </w:tc>
        <w:tc>
          <w:tcPr>
            <w:tcW w:w="114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496</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0,55</w:t>
            </w:r>
          </w:p>
        </w:tc>
        <w:tc>
          <w:tcPr>
            <w:tcW w:w="11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67</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0,14</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lang w:val="en-AU"/>
              </w:rPr>
              <w:t>55-59</w:t>
            </w:r>
          </w:p>
        </w:tc>
        <w:tc>
          <w:tcPr>
            <w:tcW w:w="114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1.312</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1,92</w:t>
            </w:r>
          </w:p>
        </w:tc>
        <w:tc>
          <w:tcPr>
            <w:tcW w:w="11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sz w:val="18"/>
                <w:szCs w:val="18"/>
              </w:rPr>
              <w:t>122</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sz w:val="18"/>
                <w:szCs w:val="18"/>
              </w:rPr>
              <w:t>0,37</w:t>
            </w:r>
          </w:p>
        </w:tc>
      </w:tr>
      <w:tr>
        <w:trPr>
          <w:trHeight w:hRule="exact" w:val="383"/>
        </w:trPr>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lang w:val="en-AU"/>
              </w:rPr>
            </w:pPr>
            <w:r>
              <w:rPr>
                <w:rFonts w:cstheme="minorHAnsi"/>
                <w:sz w:val="18"/>
                <w:szCs w:val="18"/>
                <w:lang w:val="en-AU"/>
              </w:rPr>
              <w:t>60+</w:t>
            </w:r>
          </w:p>
        </w:tc>
        <w:tc>
          <w:tcPr>
            <w:tcW w:w="114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lang w:val="en-US"/>
              </w:rPr>
            </w:pPr>
            <w:r>
              <w:rPr>
                <w:rFonts w:cstheme="minorHAnsi"/>
                <w:sz w:val="18"/>
                <w:szCs w:val="18"/>
              </w:rPr>
              <w:t>706</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0,86</w:t>
            </w:r>
          </w:p>
        </w:tc>
        <w:tc>
          <w:tcPr>
            <w:tcW w:w="11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pPr>
              <w:jc w:val="both"/>
              <w:rPr>
                <w:rFonts w:cstheme="minorHAnsi"/>
                <w:sz w:val="18"/>
                <w:szCs w:val="18"/>
              </w:rPr>
            </w:pPr>
            <w:r>
              <w:rPr>
                <w:rFonts w:cstheme="minorHAnsi"/>
                <w:sz w:val="18"/>
                <w:szCs w:val="18"/>
              </w:rPr>
              <w:t>340</w:t>
            </w:r>
          </w:p>
        </w:tc>
        <w:tc>
          <w:tcPr>
            <w:tcW w:w="11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pPr>
              <w:jc w:val="both"/>
              <w:rPr>
                <w:rFonts w:cstheme="minorHAnsi"/>
                <w:sz w:val="18"/>
                <w:szCs w:val="18"/>
              </w:rPr>
            </w:pPr>
            <w:r>
              <w:rPr>
                <w:rFonts w:cstheme="minorHAnsi"/>
                <w:sz w:val="18"/>
                <w:szCs w:val="18"/>
              </w:rPr>
              <w:t>0,91</w:t>
            </w:r>
          </w:p>
        </w:tc>
      </w:tr>
      <w:tr>
        <w:trPr>
          <w:trHeight w:hRule="exact" w:val="449"/>
        </w:trPr>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bCs/>
                <w:sz w:val="18"/>
                <w:szCs w:val="18"/>
              </w:rPr>
            </w:pPr>
            <w:r>
              <w:rPr>
                <w:rFonts w:cstheme="minorHAnsi"/>
                <w:bCs/>
                <w:sz w:val="18"/>
                <w:szCs w:val="18"/>
              </w:rPr>
              <w:t>Jumlah</w:t>
            </w:r>
          </w:p>
        </w:tc>
        <w:tc>
          <w:tcPr>
            <w:tcW w:w="114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b/>
                <w:bCs/>
                <w:sz w:val="18"/>
                <w:szCs w:val="18"/>
              </w:rPr>
              <w:t>40.030</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b/>
                <w:bCs/>
                <w:sz w:val="18"/>
                <w:szCs w:val="18"/>
              </w:rPr>
              <w:t>4,40</w:t>
            </w:r>
          </w:p>
        </w:tc>
        <w:tc>
          <w:tcPr>
            <w:tcW w:w="11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pPr>
              <w:jc w:val="both"/>
              <w:rPr>
                <w:rFonts w:cstheme="minorHAnsi"/>
                <w:sz w:val="18"/>
                <w:szCs w:val="18"/>
              </w:rPr>
            </w:pPr>
            <w:r>
              <w:rPr>
                <w:rFonts w:cstheme="minorHAnsi"/>
                <w:b/>
                <w:bCs/>
                <w:sz w:val="18"/>
                <w:szCs w:val="18"/>
              </w:rPr>
              <w:t>23.844</w:t>
            </w:r>
          </w:p>
        </w:tc>
        <w:tc>
          <w:tcPr>
            <w:tcW w:w="114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pPr>
              <w:jc w:val="both"/>
              <w:rPr>
                <w:rFonts w:cstheme="minorHAnsi"/>
                <w:sz w:val="18"/>
                <w:szCs w:val="18"/>
              </w:rPr>
            </w:pPr>
            <w:r>
              <w:rPr>
                <w:rFonts w:cstheme="minorHAnsi"/>
                <w:b/>
                <w:bCs/>
                <w:sz w:val="18"/>
                <w:szCs w:val="18"/>
              </w:rPr>
              <w:t>4,76</w:t>
            </w:r>
          </w:p>
        </w:tc>
      </w:tr>
    </w:tbl>
    <w:p>
      <w:pPr>
        <w:pStyle w:val="BodyTextIndent2"/>
        <w:tabs>
          <w:tab w:val="left" w:pos="1276"/>
          <w:tab w:val="left" w:pos="8550"/>
        </w:tabs>
        <w:spacing w:after="0" w:line="240" w:lineRule="auto"/>
        <w:ind w:left="284"/>
        <w:jc w:val="both"/>
        <w:rPr>
          <w:rFonts w:asciiTheme="minorHAnsi" w:hAnsiTheme="minorHAnsi"/>
          <w:i/>
          <w:sz w:val="18"/>
          <w:szCs w:val="18"/>
        </w:rPr>
      </w:pPr>
      <w:r>
        <w:rPr>
          <w:rFonts w:asciiTheme="minorHAnsi" w:hAnsiTheme="minorHAnsi"/>
          <w:i/>
          <w:sz w:val="18"/>
          <w:szCs w:val="18"/>
        </w:rPr>
        <w:t>Sumber: BPS, Sakernas Agustus 2021</w:t>
      </w:r>
    </w:p>
    <w:p>
      <w:pPr>
        <w:pStyle w:val="BodyTextIndent2"/>
        <w:spacing w:after="0" w:line="360" w:lineRule="auto"/>
        <w:ind w:left="0" w:firstLine="709"/>
        <w:jc w:val="both"/>
        <w:rPr>
          <w:rFonts w:asciiTheme="minorHAnsi" w:hAnsiTheme="minorHAnsi"/>
          <w:sz w:val="20"/>
          <w:szCs w:val="20"/>
        </w:rPr>
      </w:pPr>
    </w:p>
    <w:p>
      <w:pPr>
        <w:pStyle w:val="BodyTextIndent2"/>
        <w:spacing w:after="0" w:line="360" w:lineRule="auto"/>
        <w:ind w:left="284" w:firstLine="567"/>
        <w:jc w:val="both"/>
        <w:rPr>
          <w:rFonts w:asciiTheme="minorHAnsi" w:hAnsiTheme="minorHAnsi"/>
          <w:sz w:val="20"/>
          <w:szCs w:val="20"/>
        </w:rPr>
      </w:pPr>
      <w:r>
        <w:rPr>
          <w:rFonts w:asciiTheme="minorHAnsi" w:hAnsiTheme="minorHAnsi"/>
          <w:sz w:val="20"/>
          <w:szCs w:val="20"/>
        </w:rPr>
        <w:t xml:space="preserve">Tingginya TPT pada kelompok usia muda dapat dipengaruhi oleh banyaknya para pencari kerja baru atau </w:t>
      </w:r>
      <w:r>
        <w:rPr>
          <w:rFonts w:asciiTheme="minorHAnsi" w:hAnsiTheme="minorHAnsi"/>
          <w:i/>
          <w:sz w:val="20"/>
          <w:szCs w:val="20"/>
        </w:rPr>
        <w:t xml:space="preserve">new entrance </w:t>
      </w:r>
      <w:r>
        <w:rPr>
          <w:rFonts w:asciiTheme="minorHAnsi" w:hAnsiTheme="minorHAnsi"/>
          <w:sz w:val="20"/>
          <w:szCs w:val="20"/>
        </w:rPr>
        <w:t xml:space="preserve">yaitu mereka yang baru selesai sekolah/ pendidikan dan siap terjun ke dunia kerja. Tabel 7.7 menampilkan sebaran umur penganggur menurut jenis kelamin. Tingkat pengangguran di kalangan penduduk muda sangat tinggi. Pada penduduk laki-laki, penganggur usia muda (15-19 tahun) mencapai 20,57 persen, sedangkan pada penduduk perempuan mencapai 15,99 persen. Terdapat kemiripan pola pengangguran menurut umur baik laki-laki maupun perempuan memiliki setidaknya sampai kelompok umur 55-59 tahun. Memasuki usia kerja, para </w:t>
      </w:r>
      <w:r>
        <w:rPr>
          <w:rFonts w:asciiTheme="minorHAnsi" w:hAnsiTheme="minorHAnsi"/>
          <w:i/>
          <w:iCs/>
          <w:sz w:val="20"/>
          <w:szCs w:val="20"/>
        </w:rPr>
        <w:t xml:space="preserve">new entrance </w:t>
      </w:r>
      <w:r>
        <w:rPr>
          <w:rFonts w:asciiTheme="minorHAnsi" w:hAnsiTheme="minorHAnsi"/>
          <w:sz w:val="20"/>
          <w:szCs w:val="20"/>
        </w:rPr>
        <w:t xml:space="preserve">akan berusaha mencari pekerjaan pertama, sehingga tingkat pengangguran cenderung tinggi. Memasuki kelompok umur selanjutnya, tingkat pengangguran terus menurun hingga kelompok umur 40-44 tahun, kembali naik di kelompok umur 45-49 tahun, kemudian berfluktuasi hingga kelompok umur 55-59 tahun. Pada kelompok </w:t>
      </w:r>
      <w:r>
        <w:rPr>
          <w:rFonts w:asciiTheme="minorHAnsi" w:hAnsiTheme="minorHAnsi"/>
          <w:sz w:val="20"/>
          <w:szCs w:val="20"/>
        </w:rPr>
        <w:lastRenderedPageBreak/>
        <w:t>umur 60 tahun ke atas, tingkat pengangguran pekerja perempuan justru mengalami peningkatan. Hal ini mengindikasikan adanya kontribusi lansia pada pasar tenaga kerja. Dengan kata lain, para lansia mulai dapat memberdayakan diri untuk turut serta dalam kegiatan memperoleh/ membantu memperoleh pendapatan untuk keluarganya. Fenomena ini juga dapat dikaitkan dengan kondisi lansia perempuan yang kemungkinan sudah cerai mati sehingga untuk keperluan sehari-sehari sudah tidak bisa mengandalkan suaminya sebagai pencari nafkah keluarga, mengingat angka harapan hidup laki-laki lebih rendah dari perempuan.</w:t>
      </w:r>
    </w:p>
    <w:p>
      <w:pPr>
        <w:spacing w:after="0" w:line="360" w:lineRule="auto"/>
        <w:ind w:left="284" w:right="142" w:firstLine="567"/>
        <w:jc w:val="both"/>
        <w:rPr>
          <w:color w:val="000000" w:themeColor="text1"/>
          <w:sz w:val="20"/>
          <w:szCs w:val="20"/>
        </w:rPr>
      </w:pPr>
      <w:r>
        <w:rPr>
          <w:color w:val="000000" w:themeColor="text1"/>
          <w:sz w:val="20"/>
          <w:szCs w:val="20"/>
        </w:rPr>
        <w:t>Tabel 7.8 mengindikasikan bahwa di Provinsi Kalimantan Tengah TPT perempuan</w:t>
      </w:r>
      <w:r>
        <w:rPr>
          <w:color w:val="000000" w:themeColor="text1"/>
          <w:sz w:val="20"/>
          <w:szCs w:val="20"/>
          <w:lang w:val="en-US"/>
        </w:rPr>
        <w:t xml:space="preserve"> </w:t>
      </w:r>
      <w:r>
        <w:rPr>
          <w:color w:val="000000" w:themeColor="text1"/>
          <w:sz w:val="20"/>
          <w:szCs w:val="20"/>
        </w:rPr>
        <w:t xml:space="preserve">lebih tinggi dibanding TPT laki-laki di setiap tahun. Perbedaan TPT antara laki-laki dan perempuan tampak relatif kecil. Tabel 7.8 juga menggambarkan variasi TPT antar Kabupaten/Kota. Pada periode 2020-2021, angka pengangguran perempuan tertinggi konsisten tercatat di Kabupaten </w:t>
      </w:r>
      <w:r>
        <w:rPr>
          <w:color w:val="000000" w:themeColor="text1"/>
          <w:sz w:val="20"/>
          <w:szCs w:val="20"/>
          <w:lang w:val="en-ID"/>
        </w:rPr>
        <w:t>Kotawaringin Timur</w:t>
      </w:r>
      <w:r>
        <w:rPr>
          <w:color w:val="000000" w:themeColor="text1"/>
          <w:sz w:val="20"/>
          <w:szCs w:val="20"/>
        </w:rPr>
        <w:t xml:space="preserve"> sebesar </w:t>
      </w:r>
      <w:r>
        <w:rPr>
          <w:color w:val="000000" w:themeColor="text1"/>
          <w:sz w:val="20"/>
          <w:szCs w:val="20"/>
          <w:lang w:val="en-ID"/>
        </w:rPr>
        <w:t>7,75</w:t>
      </w:r>
      <w:r>
        <w:rPr>
          <w:color w:val="000000" w:themeColor="text1"/>
          <w:sz w:val="20"/>
          <w:szCs w:val="20"/>
        </w:rPr>
        <w:t xml:space="preserve"> persen (2020) dan 7,46 persen (2021). Sebaliknya, TPT perempuan terendah tahun 2020 terdapat di Kabupaten Sukamara yaitu sebesar </w:t>
      </w:r>
      <w:r>
        <w:rPr>
          <w:color w:val="000000" w:themeColor="text1"/>
          <w:sz w:val="20"/>
          <w:szCs w:val="20"/>
          <w:lang w:val="en-ID"/>
        </w:rPr>
        <w:t>1,86</w:t>
      </w:r>
      <w:r>
        <w:rPr>
          <w:color w:val="000000" w:themeColor="text1"/>
          <w:sz w:val="20"/>
          <w:szCs w:val="20"/>
        </w:rPr>
        <w:t xml:space="preserve"> persen dan tahun 2021 di Kabupaten Pulang Pisau sebesar 1,12 persen. Pada tahun 2021, Kabupaten </w:t>
      </w:r>
      <w:r>
        <w:rPr>
          <w:color w:val="000000" w:themeColor="text1"/>
          <w:sz w:val="20"/>
          <w:szCs w:val="20"/>
          <w:lang w:val="en-ID"/>
        </w:rPr>
        <w:t>Kotawaringin Timur</w:t>
      </w:r>
      <w:r>
        <w:rPr>
          <w:color w:val="000000" w:themeColor="text1"/>
          <w:sz w:val="20"/>
          <w:szCs w:val="20"/>
        </w:rPr>
        <w:t xml:space="preserve"> memiliki perbedaan yang cukup besar antara angka pengangguran laki-laki dan perempuan dibandingkan kabupaten lainnya, masing-masing 4,02 persen penganggur laki-laki dan </w:t>
      </w:r>
      <w:r>
        <w:rPr>
          <w:color w:val="000000" w:themeColor="text1"/>
          <w:sz w:val="20"/>
          <w:szCs w:val="20"/>
          <w:lang w:val="en-ID"/>
        </w:rPr>
        <w:t>7,75</w:t>
      </w:r>
      <w:r>
        <w:rPr>
          <w:color w:val="000000" w:themeColor="text1"/>
          <w:sz w:val="20"/>
          <w:szCs w:val="20"/>
        </w:rPr>
        <w:t xml:space="preserve"> persen penganggur perempuan. Kabupaten Barito Timur, tingkat pengangguran antara laki-laki dengan perempuan mempunyai perbedaan yang cukup kecil yaitu 0,</w:t>
      </w:r>
      <w:r>
        <w:rPr>
          <w:color w:val="000000" w:themeColor="text1"/>
          <w:sz w:val="20"/>
          <w:szCs w:val="20"/>
          <w:lang w:val="en-ID"/>
        </w:rPr>
        <w:t>10</w:t>
      </w:r>
      <w:r>
        <w:rPr>
          <w:color w:val="000000" w:themeColor="text1"/>
          <w:sz w:val="20"/>
          <w:szCs w:val="20"/>
        </w:rPr>
        <w:t xml:space="preserve"> persen di tahun yang sama.</w:t>
      </w:r>
    </w:p>
    <w:p>
      <w:pPr>
        <w:spacing w:after="0" w:line="360" w:lineRule="auto"/>
        <w:ind w:left="284" w:firstLine="567"/>
        <w:jc w:val="both"/>
        <w:rPr>
          <w:color w:val="000000" w:themeColor="text1"/>
          <w:sz w:val="20"/>
          <w:szCs w:val="20"/>
        </w:rPr>
      </w:pPr>
    </w:p>
    <w:p>
      <w:pPr>
        <w:spacing w:after="0" w:line="360" w:lineRule="auto"/>
        <w:ind w:left="284" w:firstLine="567"/>
        <w:jc w:val="both"/>
        <w:rPr>
          <w:color w:val="000000" w:themeColor="text1"/>
          <w:sz w:val="20"/>
          <w:szCs w:val="20"/>
        </w:rPr>
      </w:pPr>
    </w:p>
    <w:p>
      <w:pPr>
        <w:spacing w:after="0" w:line="360" w:lineRule="auto"/>
        <w:ind w:left="284" w:firstLine="567"/>
        <w:jc w:val="both"/>
        <w:rPr>
          <w:color w:val="000000" w:themeColor="text1"/>
          <w:sz w:val="20"/>
          <w:szCs w:val="20"/>
        </w:rPr>
      </w:pPr>
    </w:p>
    <w:p>
      <w:pPr>
        <w:spacing w:after="0" w:line="360" w:lineRule="auto"/>
        <w:ind w:left="284" w:firstLine="567"/>
        <w:jc w:val="both"/>
        <w:rPr>
          <w:color w:val="000000" w:themeColor="text1"/>
          <w:sz w:val="20"/>
          <w:szCs w:val="20"/>
        </w:rPr>
      </w:pPr>
    </w:p>
    <w:p>
      <w:pPr>
        <w:spacing w:after="0" w:line="360" w:lineRule="auto"/>
        <w:ind w:left="284" w:firstLine="567"/>
        <w:jc w:val="both"/>
        <w:rPr>
          <w:color w:val="000000" w:themeColor="text1"/>
          <w:sz w:val="20"/>
          <w:szCs w:val="20"/>
        </w:rPr>
      </w:pPr>
    </w:p>
    <w:p>
      <w:pPr>
        <w:spacing w:after="0" w:line="360" w:lineRule="auto"/>
        <w:ind w:left="284" w:firstLine="567"/>
        <w:jc w:val="both"/>
        <w:rPr>
          <w:color w:val="000000" w:themeColor="text1"/>
          <w:sz w:val="20"/>
          <w:szCs w:val="20"/>
        </w:rPr>
      </w:pPr>
    </w:p>
    <w:p>
      <w:pPr>
        <w:spacing w:after="0" w:line="360" w:lineRule="auto"/>
        <w:ind w:left="284" w:firstLine="567"/>
        <w:jc w:val="both"/>
        <w:rPr>
          <w:color w:val="000000" w:themeColor="text1"/>
          <w:sz w:val="20"/>
          <w:szCs w:val="20"/>
        </w:rPr>
      </w:pPr>
    </w:p>
    <w:p>
      <w:pPr>
        <w:spacing w:after="0" w:line="360" w:lineRule="auto"/>
        <w:ind w:left="284" w:firstLine="567"/>
        <w:jc w:val="both"/>
        <w:rPr>
          <w:color w:val="000000" w:themeColor="text1"/>
          <w:sz w:val="20"/>
          <w:szCs w:val="20"/>
        </w:rPr>
      </w:pPr>
    </w:p>
    <w:p>
      <w:pPr>
        <w:spacing w:after="0" w:line="360" w:lineRule="auto"/>
        <w:ind w:left="284" w:firstLine="567"/>
        <w:jc w:val="both"/>
        <w:rPr>
          <w:color w:val="000000" w:themeColor="text1"/>
          <w:sz w:val="20"/>
          <w:szCs w:val="20"/>
        </w:rPr>
      </w:pPr>
    </w:p>
    <w:p>
      <w:pPr>
        <w:spacing w:after="0" w:line="360" w:lineRule="auto"/>
        <w:ind w:left="284" w:firstLine="567"/>
        <w:jc w:val="both"/>
        <w:rPr>
          <w:rFonts w:cstheme="minorHAnsi"/>
          <w:sz w:val="20"/>
          <w:szCs w:val="20"/>
          <w:lang w:eastAsia="id-ID"/>
        </w:rPr>
      </w:pPr>
    </w:p>
    <w:p>
      <w:pPr>
        <w:spacing w:after="0" w:line="360" w:lineRule="auto"/>
        <w:ind w:left="284" w:firstLine="567"/>
        <w:jc w:val="both"/>
        <w:rPr>
          <w:rFonts w:cstheme="minorHAnsi"/>
          <w:sz w:val="20"/>
          <w:szCs w:val="20"/>
          <w:lang w:eastAsia="id-ID"/>
        </w:rPr>
      </w:pPr>
    </w:p>
    <w:p>
      <w:pPr>
        <w:spacing w:after="0" w:line="360" w:lineRule="auto"/>
        <w:ind w:left="284" w:firstLine="567"/>
        <w:jc w:val="both"/>
        <w:rPr>
          <w:rFonts w:cstheme="minorHAnsi"/>
          <w:sz w:val="20"/>
          <w:szCs w:val="20"/>
          <w:lang w:eastAsia="id-ID"/>
        </w:rPr>
      </w:pPr>
    </w:p>
    <w:p>
      <w:pPr>
        <w:spacing w:after="0" w:line="360" w:lineRule="auto"/>
        <w:ind w:left="284" w:firstLine="567"/>
        <w:jc w:val="both"/>
        <w:rPr>
          <w:rFonts w:cstheme="minorHAnsi"/>
          <w:sz w:val="20"/>
          <w:szCs w:val="20"/>
          <w:lang w:eastAsia="id-ID"/>
        </w:rPr>
      </w:pPr>
    </w:p>
    <w:p>
      <w:pPr>
        <w:spacing w:after="0" w:line="360" w:lineRule="auto"/>
        <w:ind w:left="284" w:firstLine="567"/>
        <w:jc w:val="both"/>
        <w:rPr>
          <w:rFonts w:cstheme="minorHAnsi"/>
          <w:sz w:val="20"/>
          <w:szCs w:val="20"/>
          <w:lang w:eastAsia="id-ID"/>
        </w:rPr>
      </w:pPr>
    </w:p>
    <w:p>
      <w:pPr>
        <w:spacing w:after="0" w:line="360" w:lineRule="auto"/>
        <w:ind w:left="284" w:firstLine="567"/>
        <w:jc w:val="both"/>
        <w:rPr>
          <w:rFonts w:cstheme="minorHAnsi"/>
          <w:sz w:val="20"/>
          <w:szCs w:val="20"/>
          <w:lang w:eastAsia="id-ID"/>
        </w:rPr>
      </w:pPr>
    </w:p>
    <w:p>
      <w:pPr>
        <w:spacing w:after="0" w:line="360" w:lineRule="auto"/>
        <w:ind w:left="284" w:firstLine="567"/>
        <w:jc w:val="both"/>
        <w:rPr>
          <w:rFonts w:cstheme="minorHAnsi"/>
          <w:sz w:val="20"/>
          <w:szCs w:val="20"/>
          <w:lang w:eastAsia="id-ID"/>
        </w:rPr>
      </w:pPr>
    </w:p>
    <w:p>
      <w:pPr>
        <w:spacing w:after="0" w:line="360" w:lineRule="auto"/>
        <w:ind w:left="284" w:firstLine="567"/>
        <w:jc w:val="both"/>
        <w:rPr>
          <w:rFonts w:cstheme="minorHAnsi"/>
          <w:sz w:val="20"/>
          <w:szCs w:val="20"/>
          <w:lang w:eastAsia="id-ID"/>
        </w:rPr>
      </w:pPr>
    </w:p>
    <w:p>
      <w:pPr>
        <w:spacing w:after="0" w:line="360" w:lineRule="auto"/>
        <w:ind w:left="284" w:firstLine="567"/>
        <w:jc w:val="both"/>
        <w:rPr>
          <w:rFonts w:cstheme="minorHAnsi"/>
          <w:sz w:val="20"/>
          <w:szCs w:val="20"/>
          <w:lang w:eastAsia="id-ID"/>
        </w:rPr>
      </w:pPr>
    </w:p>
    <w:p>
      <w:pPr>
        <w:pStyle w:val="Caption"/>
        <w:ind w:left="1418" w:hanging="1134"/>
        <w:rPr>
          <w:rFonts w:cstheme="minorHAnsi"/>
          <w:b/>
          <w:bCs/>
          <w:i w:val="0"/>
          <w:iCs w:val="0"/>
          <w:color w:val="auto"/>
          <w:sz w:val="20"/>
          <w:szCs w:val="20"/>
          <w:lang w:eastAsia="id-ID"/>
        </w:rPr>
      </w:pPr>
      <w:bookmarkStart w:id="121" w:name="_Toc117519554"/>
      <w:r>
        <w:rPr>
          <w:b/>
          <w:bCs/>
          <w:i w:val="0"/>
          <w:iCs w:val="0"/>
          <w:color w:val="auto"/>
          <w:sz w:val="20"/>
          <w:szCs w:val="20"/>
        </w:rPr>
        <w:t xml:space="preserve">Tabel 7. </w:t>
      </w:r>
      <w:r>
        <w:rPr>
          <w:b/>
          <w:bCs/>
          <w:i w:val="0"/>
          <w:iCs w:val="0"/>
          <w:color w:val="auto"/>
          <w:sz w:val="20"/>
          <w:szCs w:val="20"/>
        </w:rPr>
        <w:fldChar w:fldCharType="begin"/>
      </w:r>
      <w:r>
        <w:rPr>
          <w:b/>
          <w:bCs/>
          <w:i w:val="0"/>
          <w:iCs w:val="0"/>
          <w:color w:val="auto"/>
          <w:sz w:val="20"/>
          <w:szCs w:val="20"/>
        </w:rPr>
        <w:instrText xml:space="preserve"> SEQ Tabel_7. \* ARABIC </w:instrText>
      </w:r>
      <w:r>
        <w:rPr>
          <w:b/>
          <w:bCs/>
          <w:i w:val="0"/>
          <w:iCs w:val="0"/>
          <w:color w:val="auto"/>
          <w:sz w:val="20"/>
          <w:szCs w:val="20"/>
        </w:rPr>
        <w:fldChar w:fldCharType="separate"/>
      </w:r>
      <w:r>
        <w:rPr>
          <w:b/>
          <w:bCs/>
          <w:i w:val="0"/>
          <w:iCs w:val="0"/>
          <w:noProof/>
          <w:color w:val="auto"/>
          <w:sz w:val="20"/>
          <w:szCs w:val="20"/>
        </w:rPr>
        <w:t>8</w:t>
      </w:r>
      <w:r>
        <w:rPr>
          <w:b/>
          <w:bCs/>
          <w:i w:val="0"/>
          <w:iCs w:val="0"/>
          <w:color w:val="auto"/>
          <w:sz w:val="20"/>
          <w:szCs w:val="20"/>
        </w:rPr>
        <w:fldChar w:fldCharType="end"/>
      </w:r>
      <w:r>
        <w:rPr>
          <w:b/>
          <w:bCs/>
          <w:i w:val="0"/>
          <w:iCs w:val="0"/>
          <w:color w:val="auto"/>
          <w:sz w:val="20"/>
          <w:szCs w:val="20"/>
        </w:rPr>
        <w:tab/>
        <w:t>Tingkat Pengangguran Terbuka (TPT) Menurut Jenis Kelamin dan Kabupaten/Kota, 2020-2021</w:t>
      </w:r>
      <w:bookmarkEnd w:id="121"/>
    </w:p>
    <w:tbl>
      <w:tblPr>
        <w:tblStyle w:val="TableGrid"/>
        <w:tblpPr w:leftFromText="180" w:rightFromText="180" w:vertAnchor="text" w:tblpX="358" w:tblpY="1"/>
        <w:tblW w:w="5778" w:type="dxa"/>
        <w:tblLook w:val="04A0" w:firstRow="1" w:lastRow="0" w:firstColumn="1" w:lastColumn="0" w:noHBand="0" w:noVBand="1"/>
      </w:tblPr>
      <w:tblGrid>
        <w:gridCol w:w="1951"/>
        <w:gridCol w:w="992"/>
        <w:gridCol w:w="993"/>
        <w:gridCol w:w="850"/>
        <w:gridCol w:w="992"/>
      </w:tblGrid>
      <w:tr>
        <w:trPr>
          <w:trHeight w:val="340"/>
        </w:trPr>
        <w:tc>
          <w:tcPr>
            <w:tcW w:w="19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tcPr>
          <w:p>
            <w:pPr>
              <w:jc w:val="center"/>
              <w:rPr>
                <w:rFonts w:cstheme="minorHAnsi"/>
                <w:bCs/>
                <w:color w:val="FFFFFF" w:themeColor="background1"/>
                <w:sz w:val="18"/>
                <w:szCs w:val="18"/>
              </w:rPr>
            </w:pPr>
            <w:r>
              <w:rPr>
                <w:rFonts w:cstheme="minorHAnsi"/>
                <w:bCs/>
                <w:color w:val="FFFFFF" w:themeColor="background1"/>
                <w:sz w:val="18"/>
                <w:szCs w:val="18"/>
              </w:rPr>
              <w:t>Kabupaten/Kota</w:t>
            </w: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tcPr>
          <w:p>
            <w:pPr>
              <w:jc w:val="center"/>
              <w:rPr>
                <w:rFonts w:cstheme="minorHAnsi"/>
                <w:bCs/>
                <w:color w:val="FFFFFF" w:themeColor="background1"/>
                <w:sz w:val="18"/>
                <w:szCs w:val="18"/>
              </w:rPr>
            </w:pPr>
            <w:r>
              <w:rPr>
                <w:rFonts w:cstheme="minorHAnsi"/>
                <w:bCs/>
                <w:color w:val="FFFFFF" w:themeColor="background1"/>
                <w:sz w:val="18"/>
                <w:szCs w:val="18"/>
              </w:rPr>
              <w:t>Laki-laki</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tcPr>
          <w:p>
            <w:pPr>
              <w:jc w:val="center"/>
              <w:rPr>
                <w:rFonts w:cstheme="minorHAnsi"/>
                <w:bCs/>
                <w:color w:val="FFFFFF" w:themeColor="background1"/>
                <w:sz w:val="18"/>
                <w:szCs w:val="18"/>
              </w:rPr>
            </w:pPr>
            <w:r>
              <w:rPr>
                <w:rFonts w:cstheme="minorHAnsi"/>
                <w:bCs/>
                <w:color w:val="FFFFFF" w:themeColor="background1"/>
                <w:sz w:val="18"/>
                <w:szCs w:val="18"/>
              </w:rPr>
              <w:t>Perempuan</w:t>
            </w:r>
          </w:p>
        </w:tc>
      </w:tr>
      <w:tr>
        <w:trPr>
          <w:trHeight w:val="340"/>
        </w:trPr>
        <w:tc>
          <w:tcPr>
            <w:tcW w:w="19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rPr>
                <w:rFonts w:cstheme="minorHAnsi"/>
                <w:bCs/>
                <w:color w:val="FFFFFF" w:themeColor="background1"/>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2020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2021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2020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2021</w:t>
            </w:r>
          </w:p>
        </w:tc>
      </w:tr>
      <w:tr>
        <w:trPr>
          <w:trHeight w:val="227"/>
        </w:trPr>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3152" w:themeFill="accent4" w:themeFillShade="80"/>
            <w:vAlign w:val="center"/>
            <w:hideMark/>
          </w:tcPr>
          <w:p>
            <w:pPr>
              <w:jc w:val="center"/>
              <w:rPr>
                <w:rFonts w:cstheme="minorHAnsi"/>
                <w:bCs/>
                <w:color w:val="FFFFFF" w:themeColor="background1"/>
                <w:sz w:val="18"/>
                <w:szCs w:val="18"/>
              </w:rPr>
            </w:pPr>
            <w:r>
              <w:rPr>
                <w:rFonts w:cstheme="minorHAnsi"/>
                <w:bCs/>
                <w:color w:val="FFFFFF" w:themeColor="background1"/>
                <w:sz w:val="18"/>
                <w:szCs w:val="18"/>
              </w:rPr>
              <w:t>(6)</w:t>
            </w:r>
          </w:p>
        </w:tc>
      </w:tr>
      <w:tr>
        <w:trPr>
          <w:trHeight w:val="312"/>
        </w:trPr>
        <w:tc>
          <w:tcPr>
            <w:tcW w:w="1951" w:type="dxa"/>
            <w:tcBorders>
              <w:top w:val="single" w:sz="4" w:space="0" w:color="FFFFFF" w:themeColor="background1"/>
            </w:tcBorders>
            <w:shd w:val="clear" w:color="auto" w:fill="EAF1DD" w:themeFill="accent3" w:themeFillTint="33"/>
            <w:vAlign w:val="center"/>
            <w:hideMark/>
          </w:tcPr>
          <w:p>
            <w:pPr>
              <w:rPr>
                <w:rFonts w:cstheme="minorHAnsi"/>
                <w:color w:val="000000" w:themeColor="text1"/>
                <w:sz w:val="18"/>
                <w:szCs w:val="18"/>
              </w:rPr>
            </w:pPr>
            <w:r>
              <w:rPr>
                <w:rFonts w:cstheme="minorHAnsi"/>
                <w:color w:val="000000" w:themeColor="text1"/>
                <w:sz w:val="18"/>
                <w:szCs w:val="18"/>
              </w:rPr>
              <w:t>Kotawaringin Barat</w:t>
            </w:r>
          </w:p>
        </w:tc>
        <w:tc>
          <w:tcPr>
            <w:tcW w:w="992" w:type="dxa"/>
            <w:tcBorders>
              <w:top w:val="single" w:sz="4" w:space="0" w:color="FFFFFF" w:themeColor="background1"/>
            </w:tcBorders>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5,2</w:t>
            </w:r>
          </w:p>
        </w:tc>
        <w:tc>
          <w:tcPr>
            <w:tcW w:w="993" w:type="dxa"/>
            <w:tcBorders>
              <w:top w:val="single" w:sz="4" w:space="0" w:color="FFFFFF" w:themeColor="background1"/>
            </w:tcBorders>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4,13</w:t>
            </w:r>
          </w:p>
        </w:tc>
        <w:tc>
          <w:tcPr>
            <w:tcW w:w="850" w:type="dxa"/>
            <w:tcBorders>
              <w:top w:val="single" w:sz="4" w:space="0" w:color="FFFFFF" w:themeColor="background1"/>
            </w:tcBorders>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3,92</w:t>
            </w:r>
          </w:p>
        </w:tc>
        <w:tc>
          <w:tcPr>
            <w:tcW w:w="992" w:type="dxa"/>
            <w:tcBorders>
              <w:top w:val="single" w:sz="4" w:space="0" w:color="FFFFFF" w:themeColor="background1"/>
            </w:tcBorders>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5,78</w:t>
            </w:r>
          </w:p>
        </w:tc>
      </w:tr>
      <w:tr>
        <w:trPr>
          <w:trHeight w:val="312"/>
        </w:trPr>
        <w:tc>
          <w:tcPr>
            <w:tcW w:w="1951" w:type="dxa"/>
            <w:shd w:val="clear" w:color="auto" w:fill="E5DFEC" w:themeFill="accent4" w:themeFillTint="33"/>
            <w:vAlign w:val="center"/>
            <w:hideMark/>
          </w:tcPr>
          <w:p>
            <w:pPr>
              <w:rPr>
                <w:rFonts w:cstheme="minorHAnsi"/>
                <w:color w:val="000000" w:themeColor="text1"/>
                <w:sz w:val="18"/>
                <w:szCs w:val="18"/>
              </w:rPr>
            </w:pPr>
            <w:r>
              <w:rPr>
                <w:rFonts w:cstheme="minorHAnsi"/>
                <w:color w:val="000000" w:themeColor="text1"/>
                <w:sz w:val="18"/>
                <w:szCs w:val="18"/>
              </w:rPr>
              <w:t>Kotawaringin Timur</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4,05</w:t>
            </w:r>
          </w:p>
        </w:tc>
        <w:tc>
          <w:tcPr>
            <w:tcW w:w="993"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4,02</w:t>
            </w:r>
          </w:p>
        </w:tc>
        <w:tc>
          <w:tcPr>
            <w:tcW w:w="850"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7,75</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7,46</w:t>
            </w:r>
          </w:p>
        </w:tc>
      </w:tr>
      <w:tr>
        <w:trPr>
          <w:trHeight w:val="312"/>
        </w:trPr>
        <w:tc>
          <w:tcPr>
            <w:tcW w:w="1951" w:type="dxa"/>
            <w:shd w:val="clear" w:color="auto" w:fill="EAF1DD" w:themeFill="accent3" w:themeFillTint="33"/>
            <w:vAlign w:val="center"/>
            <w:hideMark/>
          </w:tcPr>
          <w:p>
            <w:pPr>
              <w:rPr>
                <w:rFonts w:cstheme="minorHAnsi"/>
                <w:color w:val="000000" w:themeColor="text1"/>
                <w:sz w:val="18"/>
                <w:szCs w:val="18"/>
              </w:rPr>
            </w:pPr>
            <w:r>
              <w:rPr>
                <w:rFonts w:cstheme="minorHAnsi"/>
                <w:color w:val="000000" w:themeColor="text1"/>
                <w:sz w:val="18"/>
                <w:szCs w:val="18"/>
              </w:rPr>
              <w:t>Kapuas</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4,42</w:t>
            </w:r>
          </w:p>
        </w:tc>
        <w:tc>
          <w:tcPr>
            <w:tcW w:w="993"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4,38</w:t>
            </w:r>
          </w:p>
        </w:tc>
        <w:tc>
          <w:tcPr>
            <w:tcW w:w="850"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5,91</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5,79</w:t>
            </w:r>
          </w:p>
        </w:tc>
      </w:tr>
      <w:tr>
        <w:trPr>
          <w:trHeight w:val="312"/>
        </w:trPr>
        <w:tc>
          <w:tcPr>
            <w:tcW w:w="1951" w:type="dxa"/>
            <w:shd w:val="clear" w:color="auto" w:fill="E5DFEC" w:themeFill="accent4" w:themeFillTint="33"/>
            <w:vAlign w:val="center"/>
            <w:hideMark/>
          </w:tcPr>
          <w:p>
            <w:pPr>
              <w:rPr>
                <w:rFonts w:cstheme="minorHAnsi"/>
                <w:color w:val="000000" w:themeColor="text1"/>
                <w:sz w:val="18"/>
                <w:szCs w:val="18"/>
              </w:rPr>
            </w:pPr>
            <w:r>
              <w:rPr>
                <w:rFonts w:cstheme="minorHAnsi"/>
                <w:color w:val="000000" w:themeColor="text1"/>
                <w:sz w:val="18"/>
                <w:szCs w:val="18"/>
              </w:rPr>
              <w:lastRenderedPageBreak/>
              <w:t>Barito Selatan</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4,78</w:t>
            </w:r>
          </w:p>
        </w:tc>
        <w:tc>
          <w:tcPr>
            <w:tcW w:w="993"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4,22</w:t>
            </w:r>
          </w:p>
        </w:tc>
        <w:tc>
          <w:tcPr>
            <w:tcW w:w="850"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3,2</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4,04</w:t>
            </w:r>
          </w:p>
        </w:tc>
      </w:tr>
      <w:tr>
        <w:trPr>
          <w:trHeight w:val="312"/>
        </w:trPr>
        <w:tc>
          <w:tcPr>
            <w:tcW w:w="1951" w:type="dxa"/>
            <w:shd w:val="clear" w:color="auto" w:fill="EAF1DD" w:themeFill="accent3" w:themeFillTint="33"/>
            <w:vAlign w:val="center"/>
            <w:hideMark/>
          </w:tcPr>
          <w:p>
            <w:pPr>
              <w:rPr>
                <w:rFonts w:cstheme="minorHAnsi"/>
                <w:color w:val="000000" w:themeColor="text1"/>
                <w:sz w:val="18"/>
                <w:szCs w:val="18"/>
              </w:rPr>
            </w:pPr>
            <w:r>
              <w:rPr>
                <w:rFonts w:cstheme="minorHAnsi"/>
                <w:color w:val="000000" w:themeColor="text1"/>
                <w:sz w:val="18"/>
                <w:szCs w:val="18"/>
              </w:rPr>
              <w:t>Barito Utara</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5,65</w:t>
            </w:r>
          </w:p>
        </w:tc>
        <w:tc>
          <w:tcPr>
            <w:tcW w:w="993"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5,30</w:t>
            </w:r>
          </w:p>
        </w:tc>
        <w:tc>
          <w:tcPr>
            <w:tcW w:w="850"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4,7</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4,84</w:t>
            </w:r>
          </w:p>
        </w:tc>
      </w:tr>
      <w:tr>
        <w:trPr>
          <w:trHeight w:val="312"/>
        </w:trPr>
        <w:tc>
          <w:tcPr>
            <w:tcW w:w="1951" w:type="dxa"/>
            <w:shd w:val="clear" w:color="auto" w:fill="E5DFEC" w:themeFill="accent4" w:themeFillTint="33"/>
            <w:vAlign w:val="center"/>
            <w:hideMark/>
          </w:tcPr>
          <w:p>
            <w:pPr>
              <w:rPr>
                <w:rFonts w:cstheme="minorHAnsi"/>
                <w:color w:val="000000" w:themeColor="text1"/>
                <w:sz w:val="18"/>
                <w:szCs w:val="18"/>
              </w:rPr>
            </w:pPr>
            <w:r>
              <w:rPr>
                <w:rFonts w:cstheme="minorHAnsi"/>
                <w:color w:val="000000" w:themeColor="text1"/>
                <w:sz w:val="18"/>
                <w:szCs w:val="18"/>
              </w:rPr>
              <w:t>Sukamara</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6,06</w:t>
            </w:r>
          </w:p>
        </w:tc>
        <w:tc>
          <w:tcPr>
            <w:tcW w:w="993"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5,69</w:t>
            </w:r>
          </w:p>
        </w:tc>
        <w:tc>
          <w:tcPr>
            <w:tcW w:w="850"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1,86</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2,88</w:t>
            </w:r>
          </w:p>
        </w:tc>
      </w:tr>
      <w:tr>
        <w:trPr>
          <w:trHeight w:val="312"/>
        </w:trPr>
        <w:tc>
          <w:tcPr>
            <w:tcW w:w="1951" w:type="dxa"/>
            <w:shd w:val="clear" w:color="auto" w:fill="EAF1DD" w:themeFill="accent3" w:themeFillTint="33"/>
            <w:vAlign w:val="center"/>
            <w:hideMark/>
          </w:tcPr>
          <w:p>
            <w:pPr>
              <w:rPr>
                <w:rFonts w:cstheme="minorHAnsi"/>
                <w:color w:val="000000" w:themeColor="text1"/>
                <w:sz w:val="18"/>
                <w:szCs w:val="18"/>
              </w:rPr>
            </w:pPr>
            <w:r>
              <w:rPr>
                <w:rFonts w:cstheme="minorHAnsi"/>
                <w:color w:val="000000" w:themeColor="text1"/>
                <w:sz w:val="18"/>
                <w:szCs w:val="18"/>
              </w:rPr>
              <w:t>Lamandau</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1,27</w:t>
            </w:r>
          </w:p>
        </w:tc>
        <w:tc>
          <w:tcPr>
            <w:tcW w:w="993"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1,98</w:t>
            </w:r>
          </w:p>
        </w:tc>
        <w:tc>
          <w:tcPr>
            <w:tcW w:w="850"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5,94</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2,96</w:t>
            </w:r>
          </w:p>
        </w:tc>
      </w:tr>
      <w:tr>
        <w:trPr>
          <w:trHeight w:val="312"/>
        </w:trPr>
        <w:tc>
          <w:tcPr>
            <w:tcW w:w="1951" w:type="dxa"/>
            <w:shd w:val="clear" w:color="auto" w:fill="E5DFEC" w:themeFill="accent4" w:themeFillTint="33"/>
            <w:vAlign w:val="center"/>
            <w:hideMark/>
          </w:tcPr>
          <w:p>
            <w:pPr>
              <w:rPr>
                <w:rFonts w:cstheme="minorHAnsi"/>
                <w:color w:val="000000" w:themeColor="text1"/>
                <w:sz w:val="18"/>
                <w:szCs w:val="18"/>
              </w:rPr>
            </w:pPr>
            <w:r>
              <w:rPr>
                <w:rFonts w:cstheme="minorHAnsi"/>
                <w:color w:val="000000" w:themeColor="text1"/>
                <w:sz w:val="18"/>
                <w:szCs w:val="18"/>
              </w:rPr>
              <w:t>Seruyan</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4,78</w:t>
            </w:r>
          </w:p>
        </w:tc>
        <w:tc>
          <w:tcPr>
            <w:tcW w:w="993"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4,34</w:t>
            </w:r>
          </w:p>
        </w:tc>
        <w:tc>
          <w:tcPr>
            <w:tcW w:w="850"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3,33</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4,07</w:t>
            </w:r>
          </w:p>
        </w:tc>
      </w:tr>
      <w:tr>
        <w:trPr>
          <w:trHeight w:val="312"/>
        </w:trPr>
        <w:tc>
          <w:tcPr>
            <w:tcW w:w="1951" w:type="dxa"/>
            <w:shd w:val="clear" w:color="auto" w:fill="EAF1DD" w:themeFill="accent3" w:themeFillTint="33"/>
            <w:vAlign w:val="center"/>
            <w:hideMark/>
          </w:tcPr>
          <w:p>
            <w:pPr>
              <w:rPr>
                <w:rFonts w:cstheme="minorHAnsi"/>
                <w:color w:val="000000" w:themeColor="text1"/>
                <w:sz w:val="18"/>
                <w:szCs w:val="18"/>
              </w:rPr>
            </w:pPr>
            <w:r>
              <w:rPr>
                <w:rFonts w:cstheme="minorHAnsi"/>
                <w:color w:val="000000" w:themeColor="text1"/>
                <w:sz w:val="18"/>
                <w:szCs w:val="18"/>
              </w:rPr>
              <w:t>Katingan</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6,08</w:t>
            </w:r>
          </w:p>
        </w:tc>
        <w:tc>
          <w:tcPr>
            <w:tcW w:w="993"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5,78</w:t>
            </w:r>
          </w:p>
        </w:tc>
        <w:tc>
          <w:tcPr>
            <w:tcW w:w="850"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4,86</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4,87</w:t>
            </w:r>
          </w:p>
        </w:tc>
      </w:tr>
      <w:tr>
        <w:trPr>
          <w:trHeight w:val="312"/>
        </w:trPr>
        <w:tc>
          <w:tcPr>
            <w:tcW w:w="1951" w:type="dxa"/>
            <w:shd w:val="clear" w:color="auto" w:fill="E5DFEC" w:themeFill="accent4" w:themeFillTint="33"/>
            <w:vAlign w:val="center"/>
            <w:hideMark/>
          </w:tcPr>
          <w:p>
            <w:pPr>
              <w:rPr>
                <w:rFonts w:cstheme="minorHAnsi"/>
                <w:color w:val="000000" w:themeColor="text1"/>
                <w:sz w:val="18"/>
                <w:szCs w:val="18"/>
              </w:rPr>
            </w:pPr>
            <w:r>
              <w:rPr>
                <w:rFonts w:cstheme="minorHAnsi"/>
                <w:color w:val="000000" w:themeColor="text1"/>
                <w:sz w:val="18"/>
                <w:szCs w:val="18"/>
              </w:rPr>
              <w:t>Pulang Pisau</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2,9</w:t>
            </w:r>
          </w:p>
        </w:tc>
        <w:tc>
          <w:tcPr>
            <w:tcW w:w="993"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3,49</w:t>
            </w:r>
          </w:p>
        </w:tc>
        <w:tc>
          <w:tcPr>
            <w:tcW w:w="850"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2,16</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1,12</w:t>
            </w:r>
          </w:p>
        </w:tc>
      </w:tr>
      <w:tr>
        <w:trPr>
          <w:trHeight w:val="312"/>
        </w:trPr>
        <w:tc>
          <w:tcPr>
            <w:tcW w:w="1951" w:type="dxa"/>
            <w:shd w:val="clear" w:color="auto" w:fill="EAF1DD" w:themeFill="accent3" w:themeFillTint="33"/>
            <w:vAlign w:val="center"/>
            <w:hideMark/>
          </w:tcPr>
          <w:p>
            <w:pPr>
              <w:rPr>
                <w:rFonts w:cstheme="minorHAnsi"/>
                <w:color w:val="000000" w:themeColor="text1"/>
                <w:sz w:val="18"/>
                <w:szCs w:val="18"/>
              </w:rPr>
            </w:pPr>
            <w:r>
              <w:rPr>
                <w:rFonts w:cstheme="minorHAnsi"/>
                <w:color w:val="000000" w:themeColor="text1"/>
                <w:sz w:val="18"/>
                <w:szCs w:val="18"/>
              </w:rPr>
              <w:t>Gunung Mas</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2,65</w:t>
            </w:r>
          </w:p>
        </w:tc>
        <w:tc>
          <w:tcPr>
            <w:tcW w:w="993"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3,25</w:t>
            </w:r>
          </w:p>
        </w:tc>
        <w:tc>
          <w:tcPr>
            <w:tcW w:w="850"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2,19</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2,84</w:t>
            </w:r>
          </w:p>
        </w:tc>
      </w:tr>
      <w:tr>
        <w:trPr>
          <w:trHeight w:val="312"/>
        </w:trPr>
        <w:tc>
          <w:tcPr>
            <w:tcW w:w="1951" w:type="dxa"/>
            <w:shd w:val="clear" w:color="auto" w:fill="E5DFEC" w:themeFill="accent4" w:themeFillTint="33"/>
            <w:vAlign w:val="center"/>
            <w:hideMark/>
          </w:tcPr>
          <w:p>
            <w:pPr>
              <w:rPr>
                <w:rFonts w:cstheme="minorHAnsi"/>
                <w:color w:val="000000" w:themeColor="text1"/>
                <w:sz w:val="18"/>
                <w:szCs w:val="18"/>
              </w:rPr>
            </w:pPr>
            <w:r>
              <w:rPr>
                <w:rFonts w:cstheme="minorHAnsi"/>
                <w:color w:val="000000" w:themeColor="text1"/>
                <w:sz w:val="18"/>
                <w:szCs w:val="18"/>
              </w:rPr>
              <w:t>Barito Timur</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3,68</w:t>
            </w:r>
          </w:p>
        </w:tc>
        <w:tc>
          <w:tcPr>
            <w:tcW w:w="993"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3,26</w:t>
            </w:r>
          </w:p>
        </w:tc>
        <w:tc>
          <w:tcPr>
            <w:tcW w:w="850"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1,93</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3,17</w:t>
            </w:r>
          </w:p>
        </w:tc>
      </w:tr>
      <w:tr>
        <w:trPr>
          <w:trHeight w:val="312"/>
        </w:trPr>
        <w:tc>
          <w:tcPr>
            <w:tcW w:w="1951" w:type="dxa"/>
            <w:shd w:val="clear" w:color="auto" w:fill="EAF1DD" w:themeFill="accent3" w:themeFillTint="33"/>
            <w:vAlign w:val="center"/>
            <w:hideMark/>
          </w:tcPr>
          <w:p>
            <w:pPr>
              <w:rPr>
                <w:rFonts w:cstheme="minorHAnsi"/>
                <w:color w:val="000000" w:themeColor="text1"/>
                <w:sz w:val="18"/>
                <w:szCs w:val="18"/>
              </w:rPr>
            </w:pPr>
            <w:r>
              <w:rPr>
                <w:rFonts w:cstheme="minorHAnsi"/>
                <w:color w:val="000000" w:themeColor="text1"/>
                <w:sz w:val="18"/>
                <w:szCs w:val="18"/>
              </w:rPr>
              <w:t>Murung Raya</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2,87</w:t>
            </w:r>
          </w:p>
        </w:tc>
        <w:tc>
          <w:tcPr>
            <w:tcW w:w="993"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2,70</w:t>
            </w:r>
          </w:p>
        </w:tc>
        <w:tc>
          <w:tcPr>
            <w:tcW w:w="850"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3,61</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color w:val="000000"/>
                <w:sz w:val="18"/>
                <w:szCs w:val="18"/>
              </w:rPr>
              <w:t>3,69</w:t>
            </w:r>
          </w:p>
        </w:tc>
      </w:tr>
      <w:tr>
        <w:trPr>
          <w:trHeight w:val="312"/>
        </w:trPr>
        <w:tc>
          <w:tcPr>
            <w:tcW w:w="1951" w:type="dxa"/>
            <w:shd w:val="clear" w:color="auto" w:fill="E5DFEC" w:themeFill="accent4" w:themeFillTint="33"/>
            <w:vAlign w:val="center"/>
            <w:hideMark/>
          </w:tcPr>
          <w:p>
            <w:pPr>
              <w:rPr>
                <w:rFonts w:cstheme="minorHAnsi"/>
                <w:color w:val="000000" w:themeColor="text1"/>
                <w:sz w:val="18"/>
                <w:szCs w:val="18"/>
              </w:rPr>
            </w:pPr>
            <w:r>
              <w:rPr>
                <w:rFonts w:cstheme="minorHAnsi"/>
                <w:color w:val="000000" w:themeColor="text1"/>
                <w:sz w:val="18"/>
                <w:szCs w:val="18"/>
              </w:rPr>
              <w:t>Palangka Raya</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5,65</w:t>
            </w:r>
          </w:p>
        </w:tc>
        <w:tc>
          <w:tcPr>
            <w:tcW w:w="993"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7,02</w:t>
            </w:r>
          </w:p>
        </w:tc>
        <w:tc>
          <w:tcPr>
            <w:tcW w:w="850"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6,48</w:t>
            </w:r>
          </w:p>
        </w:tc>
        <w:tc>
          <w:tcPr>
            <w:tcW w:w="992" w:type="dxa"/>
            <w:shd w:val="clear" w:color="auto" w:fill="E5DFEC" w:themeFill="accent4" w:themeFillTint="33"/>
            <w:vAlign w:val="center"/>
          </w:tcPr>
          <w:p>
            <w:pPr>
              <w:jc w:val="center"/>
              <w:rPr>
                <w:rFonts w:cstheme="minorHAnsi"/>
                <w:color w:val="000000" w:themeColor="text1"/>
                <w:sz w:val="18"/>
                <w:szCs w:val="18"/>
              </w:rPr>
            </w:pPr>
            <w:r>
              <w:rPr>
                <w:rFonts w:cstheme="minorHAnsi"/>
                <w:color w:val="000000"/>
                <w:sz w:val="18"/>
                <w:szCs w:val="18"/>
              </w:rPr>
              <w:t>4,03</w:t>
            </w:r>
          </w:p>
        </w:tc>
      </w:tr>
      <w:tr>
        <w:trPr>
          <w:trHeight w:val="285"/>
        </w:trPr>
        <w:tc>
          <w:tcPr>
            <w:tcW w:w="1951" w:type="dxa"/>
            <w:shd w:val="clear" w:color="auto" w:fill="EAF1DD" w:themeFill="accent3" w:themeFillTint="33"/>
            <w:vAlign w:val="center"/>
            <w:hideMark/>
          </w:tcPr>
          <w:p>
            <w:pPr>
              <w:rPr>
                <w:rFonts w:cstheme="minorHAnsi"/>
                <w:b/>
                <w:color w:val="000000" w:themeColor="text1"/>
                <w:sz w:val="18"/>
                <w:szCs w:val="18"/>
              </w:rPr>
            </w:pPr>
            <w:r>
              <w:rPr>
                <w:rFonts w:cstheme="minorHAnsi"/>
                <w:b/>
                <w:color w:val="000000" w:themeColor="text1"/>
                <w:sz w:val="18"/>
                <w:szCs w:val="18"/>
              </w:rPr>
              <w:t>Kalimantan Tengah</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b/>
                <w:bCs/>
                <w:color w:val="000000" w:themeColor="text1"/>
                <w:sz w:val="18"/>
                <w:szCs w:val="18"/>
              </w:rPr>
              <w:t>4,47</w:t>
            </w:r>
          </w:p>
        </w:tc>
        <w:tc>
          <w:tcPr>
            <w:tcW w:w="993" w:type="dxa"/>
            <w:shd w:val="clear" w:color="auto" w:fill="EAF1DD" w:themeFill="accent3" w:themeFillTint="33"/>
            <w:vAlign w:val="center"/>
          </w:tcPr>
          <w:p>
            <w:pPr>
              <w:jc w:val="center"/>
              <w:rPr>
                <w:rFonts w:cstheme="minorHAnsi"/>
                <w:color w:val="000000" w:themeColor="text1"/>
                <w:sz w:val="18"/>
                <w:szCs w:val="18"/>
              </w:rPr>
            </w:pPr>
            <w:r>
              <w:rPr>
                <w:rFonts w:cstheme="minorHAnsi"/>
                <w:b/>
                <w:bCs/>
                <w:color w:val="000000" w:themeColor="text1"/>
                <w:sz w:val="18"/>
                <w:szCs w:val="18"/>
              </w:rPr>
              <w:t>4,40</w:t>
            </w:r>
          </w:p>
        </w:tc>
        <w:tc>
          <w:tcPr>
            <w:tcW w:w="850" w:type="dxa"/>
            <w:shd w:val="clear" w:color="auto" w:fill="EAF1DD" w:themeFill="accent3" w:themeFillTint="33"/>
            <w:vAlign w:val="center"/>
          </w:tcPr>
          <w:p>
            <w:pPr>
              <w:jc w:val="center"/>
              <w:rPr>
                <w:rFonts w:cstheme="minorHAnsi"/>
                <w:color w:val="000000" w:themeColor="text1"/>
                <w:sz w:val="18"/>
                <w:szCs w:val="18"/>
              </w:rPr>
            </w:pPr>
            <w:r>
              <w:rPr>
                <w:rFonts w:cstheme="minorHAnsi"/>
                <w:b/>
                <w:bCs/>
                <w:color w:val="000000" w:themeColor="text1"/>
                <w:sz w:val="18"/>
                <w:szCs w:val="18"/>
              </w:rPr>
              <w:t>4,79</w:t>
            </w:r>
          </w:p>
        </w:tc>
        <w:tc>
          <w:tcPr>
            <w:tcW w:w="992" w:type="dxa"/>
            <w:shd w:val="clear" w:color="auto" w:fill="EAF1DD" w:themeFill="accent3" w:themeFillTint="33"/>
            <w:vAlign w:val="center"/>
          </w:tcPr>
          <w:p>
            <w:pPr>
              <w:jc w:val="center"/>
              <w:rPr>
                <w:rFonts w:cstheme="minorHAnsi"/>
                <w:color w:val="000000" w:themeColor="text1"/>
                <w:sz w:val="18"/>
                <w:szCs w:val="18"/>
              </w:rPr>
            </w:pPr>
            <w:r>
              <w:rPr>
                <w:rFonts w:cstheme="minorHAnsi"/>
                <w:b/>
                <w:bCs/>
                <w:color w:val="000000" w:themeColor="text1"/>
                <w:sz w:val="18"/>
                <w:szCs w:val="18"/>
              </w:rPr>
              <w:t>4,76</w:t>
            </w:r>
          </w:p>
        </w:tc>
      </w:tr>
    </w:tbl>
    <w:p>
      <w:pPr>
        <w:ind w:left="284"/>
        <w:jc w:val="both"/>
        <w:rPr>
          <w:i/>
          <w:color w:val="000000" w:themeColor="text1"/>
          <w:sz w:val="20"/>
          <w:szCs w:val="20"/>
        </w:rPr>
      </w:pPr>
      <w:r>
        <w:rPr>
          <w:i/>
          <w:color w:val="000000" w:themeColor="text1"/>
          <w:sz w:val="20"/>
          <w:szCs w:val="20"/>
        </w:rPr>
        <w:t>Sumber: BPS, Sakernas Agustus 2020-2021</w:t>
      </w:r>
    </w:p>
    <w:p>
      <w:pPr>
        <w:pStyle w:val="Heading2"/>
        <w:numPr>
          <w:ilvl w:val="0"/>
          <w:numId w:val="0"/>
        </w:numPr>
        <w:ind w:left="284"/>
        <w:rPr>
          <w:rFonts w:asciiTheme="minorHAnsi" w:hAnsiTheme="minorHAnsi" w:cstheme="minorHAnsi"/>
          <w:sz w:val="20"/>
          <w:szCs w:val="20"/>
          <w:lang w:val="en-US"/>
        </w:rPr>
      </w:pPr>
      <w:bookmarkStart w:id="122" w:name="_Toc118716007"/>
      <w:r>
        <w:rPr>
          <w:rFonts w:asciiTheme="minorHAnsi" w:hAnsiTheme="minorHAnsi" w:cstheme="minorHAnsi"/>
          <w:sz w:val="20"/>
          <w:szCs w:val="20"/>
          <w:lang w:val="en-US"/>
        </w:rPr>
        <w:t>7.8</w:t>
      </w:r>
      <w:r>
        <w:rPr>
          <w:rFonts w:asciiTheme="minorHAnsi" w:hAnsiTheme="minorHAnsi" w:cstheme="minorHAnsi"/>
          <w:sz w:val="20"/>
          <w:szCs w:val="20"/>
          <w:lang w:val="en-US"/>
        </w:rPr>
        <w:tab/>
      </w:r>
      <w:r>
        <w:rPr>
          <w:rFonts w:asciiTheme="minorHAnsi" w:hAnsiTheme="minorHAnsi" w:cstheme="minorHAnsi"/>
          <w:sz w:val="20"/>
          <w:szCs w:val="20"/>
        </w:rPr>
        <w:t>Kontribusi Sektor Dalam Penyerapan Tenaga</w:t>
      </w:r>
      <w:r>
        <w:rPr>
          <w:rFonts w:asciiTheme="minorHAnsi" w:hAnsiTheme="minorHAnsi" w:cstheme="minorHAnsi"/>
          <w:sz w:val="20"/>
          <w:szCs w:val="20"/>
          <w:lang w:val="en-US"/>
        </w:rPr>
        <w:t xml:space="preserve"> Kerja</w:t>
      </w:r>
      <w:bookmarkEnd w:id="122"/>
    </w:p>
    <w:p>
      <w:pPr>
        <w:spacing w:after="0" w:line="360" w:lineRule="auto"/>
        <w:ind w:left="284" w:firstLine="567"/>
        <w:jc w:val="both"/>
        <w:rPr>
          <w:color w:val="FF0000"/>
          <w:sz w:val="20"/>
          <w:szCs w:val="20"/>
        </w:rPr>
      </w:pPr>
      <w:r>
        <w:rPr>
          <w:sz w:val="20"/>
          <w:szCs w:val="20"/>
        </w:rPr>
        <w:t>Kemajuan</w:t>
      </w:r>
      <w:r>
        <w:rPr>
          <w:b/>
          <w:sz w:val="20"/>
          <w:szCs w:val="20"/>
        </w:rPr>
        <w:t xml:space="preserve"> </w:t>
      </w:r>
      <w:r>
        <w:rPr>
          <w:sz w:val="20"/>
          <w:szCs w:val="20"/>
        </w:rPr>
        <w:t>perekonomian suatu negara selalu diikuti dengan perubahan dalam struktur lapangan pekerjaan. Perpindahan penduduk yang bekerja dari sektor pertanian ke sektor industri dan kemudian beralih ke sektor jasa.  Secara umum distribusi pekerja di Kalimantan Tengah menunjukkan bahwa sektor pertanian masih merupakan tumpuan tenaga kerja, baik untuk</w:t>
      </w:r>
      <w:r>
        <w:rPr>
          <w:sz w:val="20"/>
          <w:szCs w:val="20"/>
          <w:lang w:val="en-US"/>
        </w:rPr>
        <w:t xml:space="preserve"> </w:t>
      </w:r>
      <w:r>
        <w:rPr>
          <w:sz w:val="20"/>
          <w:szCs w:val="20"/>
        </w:rPr>
        <w:t xml:space="preserve">laki-laki maupun perempuan. </w:t>
      </w:r>
      <w:r>
        <w:rPr>
          <w:color w:val="000000" w:themeColor="text1"/>
          <w:sz w:val="20"/>
          <w:szCs w:val="20"/>
        </w:rPr>
        <w:t>Presentase penduduk yang bekerja</w:t>
      </w:r>
      <w:r>
        <w:rPr>
          <w:color w:val="000000" w:themeColor="text1"/>
          <w:sz w:val="20"/>
          <w:szCs w:val="20"/>
          <w:lang w:val="en-US"/>
        </w:rPr>
        <w:t xml:space="preserve"> </w:t>
      </w:r>
      <w:r>
        <w:rPr>
          <w:color w:val="000000" w:themeColor="text1"/>
          <w:sz w:val="20"/>
          <w:szCs w:val="20"/>
        </w:rPr>
        <w:t xml:space="preserve">di sektor pertanian masih mendominasi, dengan perbandingan pekerja laki-laki dan perempuan sekitar 70 dibanding 30 persen. </w:t>
      </w:r>
    </w:p>
    <w:p>
      <w:pPr>
        <w:spacing w:after="0" w:line="360" w:lineRule="auto"/>
        <w:ind w:left="284" w:firstLine="567"/>
        <w:jc w:val="both"/>
        <w:rPr>
          <w:noProof/>
          <w:sz w:val="20"/>
          <w:szCs w:val="20"/>
        </w:rPr>
      </w:pPr>
      <w:r>
        <w:rPr>
          <w:sz w:val="20"/>
          <w:szCs w:val="20"/>
        </w:rPr>
        <w:tab/>
        <w:t xml:space="preserve">Struktur lapangan usaha yang dimasuki penduduk yang bekerja memperlihatkan pola berbeda antara perempuan dan laki-laki. Pekerja perempuan, di luar sektor pertanian, banyak memasuki sektor tersier seperti perdagangan dan jasa. </w:t>
      </w:r>
      <w:r>
        <w:rPr>
          <w:sz w:val="20"/>
          <w:szCs w:val="20"/>
          <w:lang w:val="en-AU"/>
        </w:rPr>
        <w:t xml:space="preserve">Status berusaha sendiri tanpa bantuan </w:t>
      </w:r>
      <w:r>
        <w:rPr>
          <w:sz w:val="20"/>
          <w:szCs w:val="20"/>
          <w:lang w:val="en-AU"/>
        </w:rPr>
        <w:lastRenderedPageBreak/>
        <w:t>orang lain, berusaha sendiri dengan bantuan orang lain,</w:t>
      </w:r>
      <w:r>
        <w:rPr>
          <w:sz w:val="20"/>
          <w:szCs w:val="20"/>
        </w:rPr>
        <w:t xml:space="preserve"> </w:t>
      </w:r>
      <w:r>
        <w:rPr>
          <w:sz w:val="20"/>
          <w:szCs w:val="20"/>
          <w:lang w:val="en-AU"/>
        </w:rPr>
        <w:t>serta pekerja keluarga merupakan ciri-ciri dari sektor informal. Ketiga status pekerjaan ini dapat dianggap mendekati sektor informal. Sebagian besar pekerja Kalimantan Tengah, umumnya berusaha sendiri di sektor pertanian atau berusaha dibantu kelu</w:t>
      </w:r>
      <w:r>
        <w:rPr>
          <w:sz w:val="20"/>
          <w:szCs w:val="20"/>
        </w:rPr>
        <w:t>a</w:t>
      </w:r>
      <w:r>
        <w:rPr>
          <w:sz w:val="20"/>
          <w:szCs w:val="20"/>
          <w:lang w:val="en-AU"/>
        </w:rPr>
        <w:t>rganya.</w:t>
      </w:r>
      <w:r>
        <w:rPr>
          <w:noProof/>
          <w:sz w:val="20"/>
          <w:szCs w:val="20"/>
        </w:rPr>
        <w:t xml:space="preserve"> </w:t>
      </w:r>
    </w:p>
    <w:p>
      <w:pPr>
        <w:tabs>
          <w:tab w:val="left" w:pos="1134"/>
        </w:tabs>
        <w:spacing w:after="0" w:line="360" w:lineRule="auto"/>
        <w:ind w:left="284" w:firstLine="567"/>
        <w:jc w:val="both"/>
        <w:rPr>
          <w:rFonts w:cstheme="minorHAnsi"/>
          <w:lang w:eastAsia="id-ID"/>
        </w:rPr>
      </w:pPr>
      <w:r>
        <w:rPr>
          <w:color w:val="000000" w:themeColor="text1"/>
          <w:sz w:val="20"/>
          <w:szCs w:val="20"/>
        </w:rPr>
        <w:t>Hampir seluruh sektor lapangan usaha didominasi oleh pekerja laki-laki, kecuali sektor Perdagangan,</w:t>
      </w:r>
      <w:r>
        <w:rPr>
          <w:color w:val="000000" w:themeColor="text1"/>
          <w:sz w:val="20"/>
          <w:szCs w:val="20"/>
          <w:lang w:val="en-US"/>
        </w:rPr>
        <w:t xml:space="preserve"> </w:t>
      </w:r>
      <w:r>
        <w:rPr>
          <w:color w:val="000000" w:themeColor="text1"/>
          <w:sz w:val="20"/>
          <w:szCs w:val="20"/>
        </w:rPr>
        <w:t>Rumah</w:t>
      </w:r>
      <w:r>
        <w:rPr>
          <w:color w:val="000000" w:themeColor="text1"/>
          <w:sz w:val="20"/>
          <w:szCs w:val="20"/>
          <w:lang w:val="en-US"/>
        </w:rPr>
        <w:t xml:space="preserve"> </w:t>
      </w:r>
      <w:r>
        <w:rPr>
          <w:color w:val="000000" w:themeColor="text1"/>
          <w:sz w:val="20"/>
          <w:szCs w:val="20"/>
        </w:rPr>
        <w:t xml:space="preserve">Makan dan Jasa Akomodasi yang didominasi oleh 56,85 persen pekerja perempuan. </w:t>
      </w:r>
      <w:r>
        <w:rPr>
          <w:sz w:val="20"/>
          <w:szCs w:val="20"/>
        </w:rPr>
        <w:t>Hal ini disebabkan oleh fakta bahwa pekerjaan ini dapat dilakukan di rumah bersamaan dengan pekerjaan rumah tangga lainnya, seperti mengurus anak atau memasak. Kualifikasi pendidikan yang tinggi juga tidak diperlukan pada pekerjaan ini. Pada sektor jasa kemasyarakatan, sosial dan perorangan serta sektor industri pengolahan kontribusi tenaga kerja perempuan masih cukup besar, masing-masing sebesar 45,96 persen untuk sektor jasa kemasyarakatan, sosial dan perorangan serta  38,65 persen untuk sektor industri pengolahan.</w:t>
      </w: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pStyle w:val="Caption"/>
        <w:ind w:left="1418" w:hanging="1134"/>
        <w:jc w:val="both"/>
        <w:rPr>
          <w:b/>
          <w:bCs/>
          <w:i w:val="0"/>
          <w:iCs w:val="0"/>
          <w:color w:val="auto"/>
          <w:sz w:val="20"/>
          <w:szCs w:val="20"/>
        </w:rPr>
      </w:pPr>
      <w:bookmarkStart w:id="123" w:name="_Toc117519632"/>
      <w:r>
        <w:rPr>
          <w:b/>
          <w:bCs/>
          <w:i w:val="0"/>
          <w:iCs w:val="0"/>
          <w:color w:val="auto"/>
          <w:sz w:val="20"/>
          <w:szCs w:val="20"/>
        </w:rPr>
        <w:t xml:space="preserve">Gambar 7. </w:t>
      </w:r>
      <w:r>
        <w:rPr>
          <w:b/>
          <w:bCs/>
          <w:i w:val="0"/>
          <w:iCs w:val="0"/>
          <w:color w:val="auto"/>
          <w:sz w:val="20"/>
          <w:szCs w:val="20"/>
        </w:rPr>
        <w:fldChar w:fldCharType="begin"/>
      </w:r>
      <w:r>
        <w:rPr>
          <w:b/>
          <w:bCs/>
          <w:i w:val="0"/>
          <w:iCs w:val="0"/>
          <w:color w:val="auto"/>
          <w:sz w:val="20"/>
          <w:szCs w:val="20"/>
        </w:rPr>
        <w:instrText xml:space="preserve"> SEQ Gambar_7. \* ARABIC </w:instrText>
      </w:r>
      <w:r>
        <w:rPr>
          <w:b/>
          <w:bCs/>
          <w:i w:val="0"/>
          <w:iCs w:val="0"/>
          <w:color w:val="auto"/>
          <w:sz w:val="20"/>
          <w:szCs w:val="20"/>
        </w:rPr>
        <w:fldChar w:fldCharType="separate"/>
      </w:r>
      <w:r>
        <w:rPr>
          <w:b/>
          <w:bCs/>
          <w:i w:val="0"/>
          <w:iCs w:val="0"/>
          <w:noProof/>
          <w:color w:val="auto"/>
          <w:sz w:val="20"/>
          <w:szCs w:val="20"/>
        </w:rPr>
        <w:t>5</w:t>
      </w:r>
      <w:r>
        <w:rPr>
          <w:b/>
          <w:bCs/>
          <w:i w:val="0"/>
          <w:iCs w:val="0"/>
          <w:color w:val="auto"/>
          <w:sz w:val="20"/>
          <w:szCs w:val="20"/>
        </w:rPr>
        <w:fldChar w:fldCharType="end"/>
      </w:r>
      <w:r>
        <w:rPr>
          <w:b/>
          <w:bCs/>
          <w:i w:val="0"/>
          <w:iCs w:val="0"/>
          <w:color w:val="auto"/>
          <w:sz w:val="20"/>
          <w:szCs w:val="20"/>
        </w:rPr>
        <w:tab/>
        <w:t>Persentase Tenaga Kerja Laki-laki dan Perempuan Menurut Lapangan Pekerjaan/Usaha, 2021</w:t>
      </w:r>
      <w:bookmarkEnd w:id="123"/>
    </w:p>
    <w:p>
      <w:r>
        <w:rPr>
          <w:noProof/>
          <w:lang w:val="en-ID" w:eastAsia="en-ID"/>
        </w:rPr>
        <w:drawing>
          <wp:anchor distT="0" distB="0" distL="114300" distR="114300" simplePos="0" relativeHeight="251660288" behindDoc="0" locked="0" layoutInCell="1" allowOverlap="1">
            <wp:simplePos x="0" y="0"/>
            <wp:positionH relativeFrom="margin">
              <wp:align>center</wp:align>
            </wp:positionH>
            <wp:positionV relativeFrom="paragraph">
              <wp:posOffset>17780</wp:posOffset>
            </wp:positionV>
            <wp:extent cx="3825240" cy="2423160"/>
            <wp:effectExtent l="0" t="0" r="3810" b="15240"/>
            <wp:wrapNone/>
            <wp:docPr id="36" name="Chart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A58FB-42B1-16C4-363E-6E2B713C6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p/>
    <w:p/>
    <w:p/>
    <w:p/>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r>
        <w:rPr>
          <w:noProof/>
          <w:lang w:val="en-ID" w:eastAsia="en-ID"/>
        </w:rPr>
        <mc:AlternateContent>
          <mc:Choice Requires="wps">
            <w:drawing>
              <wp:anchor distT="0" distB="0" distL="114300" distR="114300" simplePos="0" relativeHeight="251690496" behindDoc="0" locked="0" layoutInCell="1" allowOverlap="1">
                <wp:simplePos x="0" y="0"/>
                <wp:positionH relativeFrom="column">
                  <wp:posOffset>-10160</wp:posOffset>
                </wp:positionH>
                <wp:positionV relativeFrom="paragraph">
                  <wp:posOffset>12065</wp:posOffset>
                </wp:positionV>
                <wp:extent cx="2354580" cy="2355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35585"/>
                        </a:xfrm>
                        <a:prstGeom prst="rect">
                          <a:avLst/>
                        </a:prstGeom>
                        <a:noFill/>
                        <a:ln>
                          <a:noFill/>
                        </a:ln>
                      </wps:spPr>
                      <wps:txbx>
                        <w:txbxContent>
                          <w:p>
                            <w:pPr>
                              <w:ind w:left="284" w:hanging="142"/>
                              <w:rPr>
                                <w:rFonts w:cstheme="minorHAnsi"/>
                                <w:i/>
                                <w:color w:val="000000" w:themeColor="text1"/>
                                <w:sz w:val="18"/>
                                <w:szCs w:val="18"/>
                              </w:rPr>
                            </w:pPr>
                            <w:r>
                              <w:rPr>
                                <w:rFonts w:cstheme="minorHAnsi"/>
                                <w:i/>
                                <w:color w:val="000000" w:themeColor="text1"/>
                                <w:sz w:val="18"/>
                                <w:szCs w:val="18"/>
                              </w:rPr>
                              <w:t>Sumber : BPS, Sakernas Agustus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left:0;text-align:left;margin-left:-.8pt;margin-top:.95pt;width:185.4pt;height:18.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" filled="f" stroked="f">
                <v:textbox>
                  <w:txbxContent>
                    <w:p>
                      <w:pPr>
                        <w:ind w:left="284" w:hanging="142"/>
                        <w:rPr>
                          <w:rFonts w:cstheme="minorHAnsi"/>
                          <w:i/>
                          <w:color w:val="000000" w:themeColor="text1"/>
                          <w:sz w:val="18"/>
                          <w:szCs w:val="18"/>
                        </w:rPr>
                      </w:pPr>
                      <w:r>
                        <w:rPr>
                          <w:rFonts w:cstheme="minorHAnsi"/>
                          <w:i/>
                          <w:color w:val="000000" w:themeColor="text1"/>
                          <w:sz w:val="18"/>
                          <w:szCs w:val="18"/>
                        </w:rPr>
                        <w:t>Sumber : BPS, Sakernas Agustus 2021</w:t>
                      </w:r>
                    </w:p>
                  </w:txbxContent>
                </v:textbox>
              </v:shape>
            </w:pict>
          </mc:Fallback>
        </mc:AlternateContent>
      </w:r>
    </w:p>
    <w:p>
      <w:pPr>
        <w:pStyle w:val="BodyTextIndent2"/>
        <w:spacing w:before="240" w:after="0" w:line="360" w:lineRule="auto"/>
        <w:ind w:left="284" w:firstLine="567"/>
        <w:jc w:val="both"/>
        <w:rPr>
          <w:rFonts w:asciiTheme="minorHAnsi" w:hAnsiTheme="minorHAnsi"/>
          <w:sz w:val="20"/>
          <w:szCs w:val="20"/>
        </w:rPr>
      </w:pPr>
      <w:r>
        <w:rPr>
          <w:rFonts w:asciiTheme="minorHAnsi" w:hAnsiTheme="minorHAnsi"/>
          <w:sz w:val="20"/>
          <w:szCs w:val="20"/>
        </w:rPr>
        <w:t xml:space="preserve">Bias gender terbesar yaitu yang rasionya kecil terjadi pada lapangan usaha dengan proporsi pekerja perempuannya masih cukup rendah. Lapangan usaha tersebut antara lain Angkutan Pergudangan, dan Komunikasi; Pertambangan dan Penggalian; serta Konstruksi masing-masing hanya sebesar 7,99 persen, 6,04 persen, dan 1,12 persen. Ini disebabkan, antara lain karena perempuan tidak lazim bekerja pada Kedua sektor tersebut yang jaminan privasinya belum memadai untuk perempuan. Demikian halnya dengan sektor Listrik, Gas, dan Air, pada sektor ini tenaga kerja laki-laki masih mendominasi, dengan kontribusi tenaga kerja perempuan yang  hanya sebesar </w:t>
      </w:r>
      <w:r>
        <w:rPr>
          <w:rFonts w:asciiTheme="minorHAnsi" w:hAnsiTheme="minorHAnsi"/>
          <w:sz w:val="20"/>
          <w:szCs w:val="20"/>
          <w:lang w:val="en-ID"/>
        </w:rPr>
        <w:t>11,12</w:t>
      </w:r>
      <w:r>
        <w:rPr>
          <w:rFonts w:asciiTheme="minorHAnsi" w:hAnsiTheme="minorHAnsi"/>
          <w:sz w:val="20"/>
          <w:szCs w:val="20"/>
        </w:rPr>
        <w:t xml:space="preserve"> persen.</w:t>
      </w: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r>
        <w:rPr>
          <w:noProof/>
          <w:lang w:val="en-ID" w:eastAsia="en-ID"/>
        </w:rPr>
        <mc:AlternateContent>
          <mc:Choice Requires="wps">
            <w:drawing>
              <wp:anchor distT="0" distB="0" distL="114300" distR="114300" simplePos="0" relativeHeight="251728384" behindDoc="0" locked="0" layoutInCell="1" allowOverlap="1">
                <wp:simplePos x="0" y="0"/>
                <wp:positionH relativeFrom="page">
                  <wp:align>left</wp:align>
                </wp:positionH>
                <wp:positionV relativeFrom="paragraph">
                  <wp:posOffset>-889652</wp:posOffset>
                </wp:positionV>
                <wp:extent cx="5319716" cy="866899"/>
                <wp:effectExtent l="0" t="0" r="14605" b="28575"/>
                <wp:wrapNone/>
                <wp:docPr id="100" name="Rectangle 100"/>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2EF6A" id="Rectangle 100" o:spid="_x0000_s1026" style="position:absolute;margin-left:0;margin-top:-70.05pt;width:418.9pt;height:68.25pt;z-index:25172838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" fillcolor="white [3212]" strokecolor="white [3212]" strokeweight="2pt">
                <w10:wrap anchorx="page"/>
              </v:rect>
            </w:pict>
          </mc:Fallback>
        </mc:AlternateContent>
      </w: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r>
        <w:rPr>
          <w:noProof/>
          <w:lang w:val="en-ID" w:eastAsia="en-ID"/>
        </w:rPr>
        <mc:AlternateContent>
          <mc:Choice Requires="wps">
            <w:drawing>
              <wp:anchor distT="0" distB="0" distL="114300" distR="114300" simplePos="0" relativeHeight="251726336" behindDoc="0" locked="0" layoutInCell="1" allowOverlap="1">
                <wp:simplePos x="0" y="0"/>
                <wp:positionH relativeFrom="page">
                  <wp:align>left</wp:align>
                </wp:positionH>
                <wp:positionV relativeFrom="paragraph">
                  <wp:posOffset>240665</wp:posOffset>
                </wp:positionV>
                <wp:extent cx="5319716" cy="866899"/>
                <wp:effectExtent l="0" t="0" r="14605" b="28575"/>
                <wp:wrapNone/>
                <wp:docPr id="99" name="Rectangle 99"/>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C5F4F" id="Rectangle 99" o:spid="_x0000_s1026" style="position:absolute;margin-left:0;margin-top:18.95pt;width:418.9pt;height:68.25pt;z-index:251726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" fillcolor="white [3212]" strokecolor="white [3212]" strokeweight="2pt">
                <w10:wrap anchorx="page"/>
              </v:rect>
            </w:pict>
          </mc:Fallback>
        </mc:AlternateContent>
      </w:r>
    </w:p>
    <w:p>
      <w:pPr>
        <w:tabs>
          <w:tab w:val="left" w:pos="1134"/>
        </w:tabs>
        <w:spacing w:after="0"/>
        <w:ind w:left="1134" w:hanging="1134"/>
        <w:jc w:val="both"/>
        <w:rPr>
          <w:rFonts w:cstheme="minorHAnsi"/>
          <w:lang w:eastAsia="id-ID"/>
        </w:rPr>
      </w:pPr>
      <w:r>
        <w:rPr>
          <w:rFonts w:cstheme="minorHAnsi"/>
          <w:noProof/>
          <w:lang w:val="en-ID" w:eastAsia="en-ID"/>
        </w:rPr>
        <w:drawing>
          <wp:anchor distT="0" distB="0" distL="114300" distR="114300" simplePos="0" relativeHeight="251701760" behindDoc="0" locked="0" layoutInCell="1" allowOverlap="1">
            <wp:simplePos x="0" y="0"/>
            <wp:positionH relativeFrom="page">
              <wp:align>left</wp:align>
            </wp:positionH>
            <wp:positionV relativeFrom="paragraph">
              <wp:posOffset>-843781</wp:posOffset>
            </wp:positionV>
            <wp:extent cx="5380990" cy="74574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80990" cy="7457440"/>
                    </a:xfrm>
                    <a:prstGeom prst="rect">
                      <a:avLst/>
                    </a:prstGeom>
                  </pic:spPr>
                </pic:pic>
              </a:graphicData>
            </a:graphic>
            <wp14:sizeRelH relativeFrom="margin">
              <wp14:pctWidth>0</wp14:pctWidth>
            </wp14:sizeRelH>
            <wp14:sizeRelV relativeFrom="margin">
              <wp14:pctHeight>0</wp14:pctHeight>
            </wp14:sizeRelV>
          </wp:anchor>
        </w:drawing>
      </w: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eastAsia="id-ID"/>
        </w:rPr>
      </w:pPr>
    </w:p>
    <w:p>
      <w:pPr>
        <w:tabs>
          <w:tab w:val="left" w:pos="1134"/>
        </w:tabs>
        <w:spacing w:after="0"/>
        <w:ind w:left="1134" w:hanging="1134"/>
        <w:jc w:val="both"/>
        <w:rPr>
          <w:rFonts w:cstheme="minorHAnsi"/>
          <w:lang w:val="en-US" w:eastAsia="id-ID"/>
        </w:rPr>
      </w:pPr>
      <w:r>
        <w:rPr>
          <w:rFonts w:cstheme="minorHAnsi"/>
          <w:lang w:val="en-US" w:eastAsia="id-ID"/>
        </w:rPr>
        <w:t>Infografis Pencapaian Pemberdayaan Gender</w:t>
      </w: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r>
        <w:rPr>
          <w:noProof/>
          <w:lang w:val="en-ID" w:eastAsia="en-ID"/>
        </w:rPr>
        <mc:AlternateContent>
          <mc:Choice Requires="wps">
            <w:drawing>
              <wp:anchor distT="0" distB="0" distL="114300" distR="114300" simplePos="0" relativeHeight="251724288" behindDoc="0" locked="0" layoutInCell="1" allowOverlap="1">
                <wp:simplePos x="0" y="0"/>
                <wp:positionH relativeFrom="page">
                  <wp:posOffset>-1146</wp:posOffset>
                </wp:positionH>
                <wp:positionV relativeFrom="paragraph">
                  <wp:posOffset>-898740</wp:posOffset>
                </wp:positionV>
                <wp:extent cx="5319716" cy="866899"/>
                <wp:effectExtent l="0" t="0" r="14605" b="28575"/>
                <wp:wrapNone/>
                <wp:docPr id="98" name="Rectangle 98"/>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6B995" id="Rectangle 98" o:spid="_x0000_s1026" style="position:absolute;margin-left:-.1pt;margin-top:-70.75pt;width:418.9pt;height:68.25pt;z-index:251724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" fillcolor="white [3212]" strokecolor="white [3212]" strokeweight="2pt">
                <w10:wrap anchorx="page"/>
              </v:rect>
            </w:pict>
          </mc:Fallback>
        </mc:AlternateContent>
      </w: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p>
    <w:p>
      <w:pPr>
        <w:tabs>
          <w:tab w:val="left" w:pos="1134"/>
        </w:tabs>
        <w:spacing w:after="0"/>
        <w:ind w:left="1134" w:hanging="1134"/>
        <w:jc w:val="both"/>
        <w:rPr>
          <w:rFonts w:cstheme="minorHAnsi"/>
          <w:lang w:val="en-US" w:eastAsia="id-ID"/>
        </w:rPr>
      </w:pPr>
      <w:r>
        <w:rPr>
          <w:noProof/>
          <w:lang w:val="en-ID" w:eastAsia="en-ID"/>
        </w:rPr>
        <mc:AlternateContent>
          <mc:Choice Requires="wps">
            <w:drawing>
              <wp:anchor distT="0" distB="0" distL="114300" distR="114300" simplePos="0" relativeHeight="251793920" behindDoc="0" locked="0" layoutInCell="1" allowOverlap="1">
                <wp:simplePos x="0" y="0"/>
                <wp:positionH relativeFrom="page">
                  <wp:align>left</wp:align>
                </wp:positionH>
                <wp:positionV relativeFrom="paragraph">
                  <wp:posOffset>239361</wp:posOffset>
                </wp:positionV>
                <wp:extent cx="5319716" cy="866899"/>
                <wp:effectExtent l="0" t="0" r="14605" b="28575"/>
                <wp:wrapNone/>
                <wp:docPr id="8208" name="Rectangle 8208"/>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17D6B" id="Rectangle 8208" o:spid="_x0000_s1026" style="position:absolute;margin-left:0;margin-top:18.85pt;width:418.9pt;height:68.25pt;z-index:251793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" fillcolor="white [3212]" strokecolor="white [3212]" strokeweight="2pt">
                <w10:wrap anchorx="page"/>
              </v:rect>
            </w:pict>
          </mc:Fallback>
        </mc:AlternateContent>
      </w:r>
    </w:p>
    <w:p>
      <w:pPr>
        <w:tabs>
          <w:tab w:val="left" w:pos="1134"/>
        </w:tabs>
        <w:spacing w:after="0"/>
        <w:jc w:val="both"/>
        <w:rPr>
          <w:rFonts w:cstheme="minorHAnsi"/>
          <w:lang w:val="en-US" w:eastAsia="id-ID"/>
        </w:rPr>
      </w:pPr>
    </w:p>
    <w:p>
      <w:pPr>
        <w:pStyle w:val="Heading1"/>
        <w:spacing w:before="0" w:after="0"/>
        <w:rPr>
          <w:rFonts w:asciiTheme="minorHAnsi" w:hAnsiTheme="minorHAnsi" w:cstheme="minorHAnsi"/>
          <w:sz w:val="32"/>
          <w:lang w:val="en-US" w:eastAsia="id-ID"/>
        </w:rPr>
      </w:pPr>
      <w:bookmarkStart w:id="124" w:name="_Toc118716008"/>
      <w:r>
        <w:rPr>
          <w:rFonts w:asciiTheme="minorHAnsi" w:hAnsiTheme="minorHAnsi" w:cstheme="minorHAnsi"/>
          <w:sz w:val="32"/>
          <w:lang w:val="en-US" w:eastAsia="id-ID"/>
        </w:rPr>
        <w:t>BAB VIII</w:t>
      </w:r>
      <w:bookmarkEnd w:id="124"/>
    </w:p>
    <w:p>
      <w:pPr>
        <w:pStyle w:val="Title"/>
        <w:rPr>
          <w:rFonts w:cstheme="minorHAnsi"/>
          <w:sz w:val="32"/>
          <w:szCs w:val="32"/>
          <w:lang w:eastAsia="id-ID"/>
        </w:rPr>
      </w:pPr>
      <w:r>
        <w:rPr>
          <w:rFonts w:cstheme="minorHAnsi"/>
          <w:sz w:val="32"/>
          <w:szCs w:val="32"/>
          <w:lang w:eastAsia="id-ID"/>
        </w:rPr>
        <w:t>PENCAPAIAN PEMBERDAYAAN GENDER</w:t>
      </w:r>
    </w:p>
    <w:p>
      <w:pPr>
        <w:pStyle w:val="Title"/>
        <w:rPr>
          <w:rFonts w:cstheme="minorHAnsi"/>
          <w:sz w:val="20"/>
          <w:lang w:eastAsia="id-ID"/>
        </w:rPr>
      </w:pPr>
    </w:p>
    <w:p>
      <w:pPr>
        <w:tabs>
          <w:tab w:val="left" w:pos="6096"/>
        </w:tabs>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t xml:space="preserve">Selain Indeks Pembangunan Gender (IPG), UNDP juga mengenalkan ukuran komposit lainnya yang terkait dengangender, yakni Indeks Pemberdayaan Gender (IDG) yang digunakan untuk mengukur persamaan </w:t>
      </w:r>
      <w:r>
        <w:rPr>
          <w:rFonts w:cstheme="minorHAnsi"/>
          <w:sz w:val="20"/>
          <w:szCs w:val="20"/>
        </w:rPr>
        <w:lastRenderedPageBreak/>
        <w:t>peranan antara perempuan dan laki-laki dalam kehidupan ekonomi, politik dan pengambilan keputusan. Kedua ukuran ini,diharapkan mampu memberikan penjelasan tentang kesetaraan dan keadilan gender yang telah dicapai melalui berbagai program pembangunan serta dapat digunakan sebagai bahan dalam menentukan arah kebijakan yang berkaitan dengan peningkatan kesetaraan dan keadilan gender.</w:t>
      </w:r>
    </w:p>
    <w:p>
      <w:pPr>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t>IDG menggambarkan besarnya peranan gender dalam bidang politik, ekonomi, dan pengambilan keputusan. Saat ini, upaya yang telah dilakukan oleh pemerintah untuk mendorong kesetaraan gender di berbagai bidang kehidupan telah mulai tampak hasilnya. Secara kuantitas, telah banyak perempuan yang menduduki jabatan strategis yang memungkinkan perempuan dapat berperan sebagai pengambil keputusan. Namun dari aspek kualitas, masih terdapat banyak hal yang perlu ditingkatkan terkait dengan kompetensi yang dimiliki. Untuk mengkaji lebih jauh peranan perempuan dalam pengambilan keputusan, peran dalam politik dan ekonomi maka dapat digunakan IDG.</w:t>
      </w:r>
    </w:p>
    <w:p>
      <w:pPr>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t>IDG diukur berdasarkan tiga komponen, yaitu keterwakilan perempuan dalam parlemen; perempuan sebagai tenaga profesional, manajer, administrasi, dan teknisi; dan sumbangan pendapatan. Dengan demikian, arahdan perubahan IDG sangat dipengaruhi oleh ketiga komponen tersebut. Besaran nilai indikator yang terekam dari kegiatan pengumpulan data (</w:t>
      </w:r>
      <w:r>
        <w:rPr>
          <w:rFonts w:cstheme="minorHAnsi"/>
          <w:i/>
          <w:iCs/>
          <w:sz w:val="20"/>
          <w:szCs w:val="20"/>
        </w:rPr>
        <w:t>survei</w:t>
      </w:r>
      <w:r>
        <w:rPr>
          <w:rFonts w:cstheme="minorHAnsi"/>
          <w:sz w:val="20"/>
          <w:szCs w:val="20"/>
        </w:rPr>
        <w:t xml:space="preserve">) merupakan hasil akumulasi dari berbagai kebijakan baik bersifat langsung maupun tidak langsung dari program-program pembangunan yang telah dilaksanakan. Hasilnya </w:t>
      </w:r>
      <w:r>
        <w:rPr>
          <w:rFonts w:cstheme="minorHAnsi"/>
          <w:sz w:val="20"/>
          <w:szCs w:val="20"/>
        </w:rPr>
        <w:lastRenderedPageBreak/>
        <w:t>menggambarkan kondisi terkini (</w:t>
      </w:r>
      <w:r>
        <w:rPr>
          <w:rFonts w:cstheme="minorHAnsi"/>
          <w:i/>
          <w:iCs/>
          <w:sz w:val="20"/>
          <w:szCs w:val="20"/>
        </w:rPr>
        <w:t>current condition</w:t>
      </w:r>
      <w:r>
        <w:rPr>
          <w:rFonts w:cstheme="minorHAnsi"/>
          <w:sz w:val="20"/>
          <w:szCs w:val="20"/>
        </w:rPr>
        <w:t>) peranan perempuan dalam pengambilan keputusan di berbagai bidang kehidupan.</w:t>
      </w:r>
    </w:p>
    <w:p>
      <w:pPr>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t>Bab ini akan membahas pencapaian pemberdayaan gender yang akan dibagi ke dalam 3 (tiga) pokok bahasan, yaitu perkembangan pemberdayaan gender, pencapaian komponen IDG, dan disparitas IDG. Ketiga pokok bahasan ini diharapkan dapat memberikan gambaran secara umum pencapaian peranan perempuan dalam pengambilan keputusan, komponen/indikator yang berkontribusi terhadap capaian peranan perempuan, dan disparitas peranan perempuan antar wilayah (provinsi dan kabupaten/kota).</w:t>
      </w:r>
    </w:p>
    <w:p>
      <w:pPr>
        <w:autoSpaceDE w:val="0"/>
        <w:autoSpaceDN w:val="0"/>
        <w:adjustRightInd w:val="0"/>
        <w:spacing w:after="0" w:line="360" w:lineRule="auto"/>
        <w:ind w:left="284" w:right="142" w:firstLine="567"/>
        <w:jc w:val="both"/>
        <w:rPr>
          <w:rFonts w:cstheme="minorHAnsi"/>
          <w:sz w:val="20"/>
          <w:szCs w:val="20"/>
        </w:rPr>
      </w:pPr>
    </w:p>
    <w:p>
      <w:pPr>
        <w:pStyle w:val="Heading2"/>
        <w:numPr>
          <w:ilvl w:val="0"/>
          <w:numId w:val="0"/>
        </w:numPr>
        <w:ind w:left="709" w:right="142" w:hanging="425"/>
        <w:rPr>
          <w:rFonts w:asciiTheme="minorHAnsi" w:hAnsiTheme="minorHAnsi" w:cstheme="minorHAnsi"/>
          <w:bCs/>
          <w:sz w:val="20"/>
          <w:szCs w:val="20"/>
        </w:rPr>
      </w:pPr>
      <w:bookmarkStart w:id="125" w:name="_Toc118716009"/>
      <w:r>
        <w:rPr>
          <w:rFonts w:asciiTheme="minorHAnsi" w:hAnsiTheme="minorHAnsi" w:cstheme="minorHAnsi"/>
          <w:lang w:val="en-US"/>
        </w:rPr>
        <w:t>8.1</w:t>
      </w:r>
      <w:r>
        <w:rPr>
          <w:rFonts w:asciiTheme="minorHAnsi" w:hAnsiTheme="minorHAnsi" w:cstheme="minorHAnsi"/>
          <w:lang w:val="en-US"/>
        </w:rPr>
        <w:tab/>
      </w:r>
      <w:r>
        <w:rPr>
          <w:rFonts w:asciiTheme="minorHAnsi" w:hAnsiTheme="minorHAnsi" w:cstheme="minorHAnsi"/>
          <w:bCs/>
          <w:sz w:val="20"/>
          <w:szCs w:val="20"/>
        </w:rPr>
        <w:t>Perkembangan Pemberdayaan Gender</w:t>
      </w:r>
      <w:bookmarkEnd w:id="125"/>
    </w:p>
    <w:p>
      <w:pPr>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t>Kesetaraan dan keadilan gender sering dimaknai sebagai suatu kondisi dimana porsi dan siklus sosial perempuan dan laki-laki setara, serasi, seimbang dan harmonis, tanpa ada salah satu pihak yang merasa dirugikan atau diuntungkan. Makna dari kesetaraan gender bukan hanya persoalan pencapaian persamaan status dan kedudukan antara perempuan dan laki-laki, tetapi juga dapat bermakna sebagai persoalan pencapaian persamaan peranan. Maksud dari persamaan peran disini adalah perempuan memiliki peranan yang proposional dalam hal: proses pengambilan keputusan dibidang politik, penyelenggaraan pemerintahan, dan kehidupan ekonomi, khususnya kontribusi perempuan dalam pendapatan rumah tangga.</w:t>
      </w:r>
    </w:p>
    <w:p>
      <w:pPr>
        <w:spacing w:after="0" w:line="360" w:lineRule="auto"/>
        <w:ind w:left="284" w:right="142" w:firstLine="567"/>
        <w:jc w:val="both"/>
        <w:rPr>
          <w:rFonts w:cstheme="minorHAnsi"/>
          <w:color w:val="000000" w:themeColor="text1"/>
          <w:sz w:val="20"/>
          <w:szCs w:val="20"/>
        </w:rPr>
      </w:pPr>
      <w:r>
        <w:rPr>
          <w:rFonts w:cstheme="minorHAnsi"/>
          <w:sz w:val="20"/>
          <w:szCs w:val="20"/>
        </w:rPr>
        <w:lastRenderedPageBreak/>
        <w:t xml:space="preserve">Pencapaian Pemberdayaan Gender, unsur persamaan peranan tersebut merupakan komponen/indikator yang tercakup dalam pengukuran IDG. Sebagaimana telah dikemukakan sebelumnya, IDG merupakan ukuran komposit yang dapat digunakan untuk mengkaji sejauh mana persamaan peranan perempuan dan laki-laki dalam proses pengambilan keputusan serta kontribusi dalam aspek ekonomi. </w:t>
      </w:r>
      <w:r>
        <w:rPr>
          <w:rFonts w:cstheme="minorHAnsi"/>
          <w:color w:val="000000" w:themeColor="text1"/>
          <w:sz w:val="20"/>
          <w:szCs w:val="20"/>
        </w:rPr>
        <w:t>Gambar 10.1 menunjukkan IDG Kalimantan Tengah sebesar 82,41 menurun menjadi 82,08 pada tahun 2021. Hal ini dapat diartikan bahwa peranan perempuan dalam pengambilan keputusan dan kegiatan ekonomi agak menurun menuju ke arah yang kurang baik terlihat dari menurunnya kesetaraan peran gender pada tahun 2021. IDG terendah di Kabupaten Seruyan sebesar 63,19 dan IDG tertinggi di Kabupaten Gunung Mas sebesar 88,71. Untuk mengetahui lebih jauh mengenai peranan perempuan dan laki-laki dalam pengambilan keputusan, perlu dikaji setiap komponen IDG secara lebih mendalam</w:t>
      </w:r>
    </w:p>
    <w:p>
      <w:pPr>
        <w:spacing w:after="0" w:line="360" w:lineRule="auto"/>
        <w:ind w:left="284" w:firstLine="567"/>
        <w:jc w:val="both"/>
        <w:rPr>
          <w:rFonts w:cstheme="minorHAnsi"/>
          <w:color w:val="000000" w:themeColor="text1"/>
          <w:sz w:val="20"/>
          <w:szCs w:val="20"/>
        </w:rPr>
      </w:pPr>
    </w:p>
    <w:p>
      <w:pPr>
        <w:spacing w:after="0" w:line="360" w:lineRule="auto"/>
        <w:ind w:left="284" w:firstLine="567"/>
        <w:jc w:val="both"/>
        <w:rPr>
          <w:rFonts w:cstheme="minorHAnsi"/>
          <w:color w:val="000000" w:themeColor="text1"/>
          <w:sz w:val="20"/>
          <w:szCs w:val="20"/>
        </w:rPr>
      </w:pPr>
    </w:p>
    <w:p>
      <w:pPr>
        <w:spacing w:after="0" w:line="360" w:lineRule="auto"/>
        <w:ind w:left="284" w:firstLine="567"/>
        <w:jc w:val="both"/>
        <w:rPr>
          <w:rFonts w:cstheme="minorHAnsi"/>
          <w:color w:val="000000" w:themeColor="text1"/>
          <w:sz w:val="20"/>
          <w:szCs w:val="20"/>
        </w:rPr>
      </w:pPr>
    </w:p>
    <w:p>
      <w:pPr>
        <w:spacing w:after="0" w:line="360" w:lineRule="auto"/>
        <w:ind w:left="284" w:firstLine="567"/>
        <w:jc w:val="both"/>
        <w:rPr>
          <w:rFonts w:cstheme="minorHAnsi"/>
          <w:color w:val="000000" w:themeColor="text1"/>
          <w:sz w:val="20"/>
          <w:szCs w:val="20"/>
        </w:rPr>
      </w:pPr>
    </w:p>
    <w:p>
      <w:pPr>
        <w:spacing w:after="0" w:line="360" w:lineRule="auto"/>
        <w:ind w:left="284" w:firstLine="567"/>
        <w:jc w:val="both"/>
        <w:rPr>
          <w:rFonts w:cstheme="minorHAnsi"/>
          <w:color w:val="000000" w:themeColor="text1"/>
          <w:sz w:val="20"/>
          <w:szCs w:val="20"/>
        </w:rPr>
      </w:pPr>
    </w:p>
    <w:p>
      <w:pPr>
        <w:spacing w:after="0" w:line="360" w:lineRule="auto"/>
        <w:ind w:left="284" w:firstLine="567"/>
        <w:jc w:val="both"/>
        <w:rPr>
          <w:rFonts w:cstheme="minorHAnsi"/>
          <w:color w:val="000000" w:themeColor="text1"/>
          <w:sz w:val="20"/>
          <w:szCs w:val="20"/>
        </w:rPr>
      </w:pPr>
    </w:p>
    <w:p>
      <w:pPr>
        <w:spacing w:after="0" w:line="360" w:lineRule="auto"/>
        <w:ind w:left="284" w:firstLine="567"/>
        <w:jc w:val="both"/>
        <w:rPr>
          <w:rFonts w:cstheme="minorHAnsi"/>
          <w:color w:val="000000" w:themeColor="text1"/>
          <w:sz w:val="20"/>
          <w:szCs w:val="20"/>
        </w:rPr>
      </w:pPr>
    </w:p>
    <w:p>
      <w:pPr>
        <w:pStyle w:val="Caption"/>
        <w:spacing w:before="240"/>
        <w:ind w:left="1276" w:hanging="992"/>
        <w:rPr>
          <w:rFonts w:cstheme="minorHAnsi"/>
          <w:b/>
          <w:bCs/>
          <w:i w:val="0"/>
          <w:iCs w:val="0"/>
          <w:color w:val="000000" w:themeColor="text1"/>
          <w:sz w:val="20"/>
          <w:szCs w:val="20"/>
          <w:lang w:eastAsia="id-ID"/>
        </w:rPr>
      </w:pPr>
      <w:bookmarkStart w:id="126" w:name="_Toc117552837"/>
      <w:r>
        <w:rPr>
          <w:b/>
          <w:bCs/>
          <w:i w:val="0"/>
          <w:iCs w:val="0"/>
          <w:color w:val="000000" w:themeColor="text1"/>
          <w:sz w:val="20"/>
          <w:szCs w:val="20"/>
        </w:rPr>
        <w:t xml:space="preserve">Gambar 8. </w:t>
      </w:r>
      <w:r>
        <w:rPr>
          <w:b/>
          <w:bCs/>
          <w:i w:val="0"/>
          <w:iCs w:val="0"/>
          <w:color w:val="000000" w:themeColor="text1"/>
          <w:sz w:val="20"/>
          <w:szCs w:val="20"/>
        </w:rPr>
        <w:fldChar w:fldCharType="begin"/>
      </w:r>
      <w:r>
        <w:rPr>
          <w:b/>
          <w:bCs/>
          <w:i w:val="0"/>
          <w:iCs w:val="0"/>
          <w:color w:val="000000" w:themeColor="text1"/>
          <w:sz w:val="20"/>
          <w:szCs w:val="20"/>
        </w:rPr>
        <w:instrText xml:space="preserve"> SEQ Gambar_8. \* ARABIC </w:instrText>
      </w:r>
      <w:r>
        <w:rPr>
          <w:b/>
          <w:bCs/>
          <w:i w:val="0"/>
          <w:iCs w:val="0"/>
          <w:color w:val="000000" w:themeColor="text1"/>
          <w:sz w:val="20"/>
          <w:szCs w:val="20"/>
        </w:rPr>
        <w:fldChar w:fldCharType="separate"/>
      </w:r>
      <w:r>
        <w:rPr>
          <w:b/>
          <w:bCs/>
          <w:i w:val="0"/>
          <w:iCs w:val="0"/>
          <w:noProof/>
          <w:color w:val="000000" w:themeColor="text1"/>
          <w:sz w:val="20"/>
          <w:szCs w:val="20"/>
        </w:rPr>
        <w:t>1</w:t>
      </w:r>
      <w:r>
        <w:rPr>
          <w:b/>
          <w:bCs/>
          <w:i w:val="0"/>
          <w:iCs w:val="0"/>
          <w:color w:val="000000" w:themeColor="text1"/>
          <w:sz w:val="20"/>
          <w:szCs w:val="20"/>
        </w:rPr>
        <w:fldChar w:fldCharType="end"/>
      </w:r>
      <w:r>
        <w:rPr>
          <w:b/>
          <w:bCs/>
          <w:i w:val="0"/>
          <w:iCs w:val="0"/>
          <w:color w:val="000000" w:themeColor="text1"/>
          <w:sz w:val="20"/>
          <w:szCs w:val="20"/>
        </w:rPr>
        <w:tab/>
      </w:r>
      <w:r>
        <w:rPr>
          <w:rFonts w:cstheme="minorHAnsi"/>
          <w:b/>
          <w:bCs/>
          <w:i w:val="0"/>
          <w:iCs w:val="0"/>
          <w:color w:val="000000" w:themeColor="text1"/>
          <w:sz w:val="20"/>
          <w:szCs w:val="20"/>
        </w:rPr>
        <w:t>Pencapaian IDG Menurut Kabupaten/Kota, 2021</w:t>
      </w:r>
      <w:bookmarkEnd w:id="126"/>
    </w:p>
    <w:p>
      <w:pPr>
        <w:spacing w:after="0"/>
        <w:ind w:left="284" w:firstLine="567"/>
        <w:jc w:val="both"/>
        <w:rPr>
          <w:rFonts w:cstheme="minorHAnsi"/>
          <w:lang w:val="en-ID" w:eastAsia="id-ID"/>
        </w:rPr>
      </w:pPr>
      <w:bookmarkStart w:id="127" w:name="_Toc114910849"/>
      <w:r>
        <w:rPr>
          <w:noProof/>
          <w:lang w:val="en-ID" w:eastAsia="en-ID"/>
        </w:rPr>
        <w:drawing>
          <wp:anchor distT="0" distB="0" distL="114300" distR="114300" simplePos="0" relativeHeight="251674624" behindDoc="0" locked="0" layoutInCell="1" allowOverlap="1">
            <wp:simplePos x="0" y="0"/>
            <wp:positionH relativeFrom="column">
              <wp:posOffset>204470</wp:posOffset>
            </wp:positionH>
            <wp:positionV relativeFrom="paragraph">
              <wp:posOffset>24765</wp:posOffset>
            </wp:positionV>
            <wp:extent cx="3676650" cy="2533650"/>
            <wp:effectExtent l="0" t="0" r="0" b="0"/>
            <wp:wrapNone/>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1151BB-98A1-37D9-1AC8-D531CD4CE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pPr>
        <w:spacing w:after="0"/>
        <w:ind w:left="990" w:hanging="990"/>
        <w:jc w:val="both"/>
        <w:rPr>
          <w:rFonts w:cstheme="minorHAnsi"/>
          <w:lang w:val="en-ID" w:eastAsia="id-ID"/>
        </w:rPr>
      </w:pPr>
    </w:p>
    <w:bookmarkEnd w:id="127"/>
    <w:p>
      <w:pPr>
        <w:jc w:val="both"/>
        <w:rPr>
          <w:rFonts w:cstheme="minorHAnsi"/>
          <w:lang w:eastAsia="id-ID"/>
        </w:rPr>
      </w:pPr>
    </w:p>
    <w:p>
      <w:pPr>
        <w:jc w:val="both"/>
        <w:rPr>
          <w:rFonts w:cstheme="minorHAnsi"/>
          <w:lang w:eastAsia="id-ID"/>
        </w:rPr>
      </w:pPr>
    </w:p>
    <w:p>
      <w:pPr>
        <w:jc w:val="both"/>
        <w:rPr>
          <w:rFonts w:cstheme="minorHAnsi"/>
          <w:lang w:eastAsia="id-ID"/>
        </w:rPr>
      </w:pPr>
    </w:p>
    <w:p>
      <w:pPr>
        <w:jc w:val="both"/>
        <w:rPr>
          <w:rFonts w:cstheme="minorHAnsi"/>
          <w:lang w:eastAsia="id-ID"/>
        </w:rPr>
      </w:pPr>
    </w:p>
    <w:p>
      <w:pPr>
        <w:jc w:val="both"/>
        <w:rPr>
          <w:rFonts w:cstheme="minorHAnsi"/>
          <w:lang w:eastAsia="id-ID"/>
        </w:rPr>
      </w:pPr>
    </w:p>
    <w:p>
      <w:pPr>
        <w:jc w:val="both"/>
        <w:rPr>
          <w:rFonts w:cstheme="minorHAnsi"/>
          <w:lang w:eastAsia="id-ID"/>
        </w:rPr>
      </w:pPr>
    </w:p>
    <w:p>
      <w:pPr>
        <w:jc w:val="both"/>
        <w:rPr>
          <w:rFonts w:cstheme="minorHAnsi"/>
          <w:lang w:eastAsia="id-ID"/>
        </w:rPr>
      </w:pPr>
    </w:p>
    <w:p>
      <w:pPr>
        <w:autoSpaceDE w:val="0"/>
        <w:autoSpaceDN w:val="0"/>
        <w:adjustRightInd w:val="0"/>
        <w:spacing w:after="0" w:line="360" w:lineRule="auto"/>
        <w:ind w:left="284"/>
        <w:jc w:val="both"/>
        <w:rPr>
          <w:rFonts w:cstheme="minorHAnsi"/>
          <w:i/>
          <w:iCs/>
          <w:sz w:val="18"/>
          <w:szCs w:val="18"/>
        </w:rPr>
      </w:pPr>
      <w:r>
        <w:rPr>
          <w:rFonts w:cstheme="minorHAnsi"/>
          <w:i/>
          <w:iCs/>
          <w:sz w:val="18"/>
          <w:szCs w:val="18"/>
        </w:rPr>
        <w:t>PPA-BPS, Pembangunan Manusia Berbasis Gender 2021</w:t>
      </w:r>
    </w:p>
    <w:p>
      <w:pPr>
        <w:autoSpaceDE w:val="0"/>
        <w:autoSpaceDN w:val="0"/>
        <w:adjustRightInd w:val="0"/>
        <w:spacing w:after="0" w:line="360" w:lineRule="auto"/>
        <w:ind w:left="284"/>
        <w:jc w:val="both"/>
        <w:rPr>
          <w:rFonts w:cstheme="minorHAnsi"/>
          <w:sz w:val="18"/>
          <w:szCs w:val="18"/>
        </w:rPr>
      </w:pPr>
    </w:p>
    <w:p>
      <w:pPr>
        <w:pStyle w:val="Heading2"/>
        <w:numPr>
          <w:ilvl w:val="0"/>
          <w:numId w:val="0"/>
        </w:numPr>
        <w:ind w:left="851" w:hanging="567"/>
        <w:jc w:val="both"/>
        <w:rPr>
          <w:rFonts w:asciiTheme="minorHAnsi" w:hAnsiTheme="minorHAnsi" w:cstheme="minorHAnsi"/>
          <w:sz w:val="20"/>
          <w:szCs w:val="20"/>
          <w:lang w:val="en-US"/>
        </w:rPr>
      </w:pPr>
      <w:bookmarkStart w:id="128" w:name="_Toc118716010"/>
      <w:r>
        <w:rPr>
          <w:rFonts w:asciiTheme="minorHAnsi" w:hAnsiTheme="minorHAnsi" w:cstheme="minorHAnsi"/>
          <w:sz w:val="20"/>
          <w:szCs w:val="20"/>
          <w:lang w:val="en-US"/>
        </w:rPr>
        <w:t xml:space="preserve">8.2 </w:t>
      </w:r>
      <w:r>
        <w:rPr>
          <w:rFonts w:asciiTheme="minorHAnsi" w:hAnsiTheme="minorHAnsi" w:cstheme="minorHAnsi"/>
          <w:sz w:val="20"/>
          <w:szCs w:val="20"/>
          <w:lang w:val="en-US"/>
        </w:rPr>
        <w:tab/>
        <w:t>Pencapaian Komponen IDG</w:t>
      </w:r>
      <w:bookmarkEnd w:id="128"/>
    </w:p>
    <w:p>
      <w:pPr>
        <w:autoSpaceDE w:val="0"/>
        <w:autoSpaceDN w:val="0"/>
        <w:adjustRightInd w:val="0"/>
        <w:spacing w:line="360" w:lineRule="auto"/>
        <w:ind w:left="284" w:right="142" w:firstLine="567"/>
        <w:jc w:val="both"/>
        <w:rPr>
          <w:rFonts w:cstheme="minorHAnsi"/>
          <w:sz w:val="20"/>
          <w:szCs w:val="20"/>
        </w:rPr>
      </w:pPr>
      <w:r>
        <w:rPr>
          <w:rFonts w:cstheme="minorHAnsi"/>
          <w:sz w:val="20"/>
          <w:szCs w:val="20"/>
        </w:rPr>
        <w:t xml:space="preserve">Secara umum capaian komponen IDG pada tahun 2021 untuk perempuan masih lebih rendah dari laki-laki, sebagaimana disajikan pada gambar 10.2. Hal ini terjadi di semua komponen pembentuk IDG, baik dalam partisipasi politik, pengambilan keputusan, maupun dalam bidang perekonomian. Masih relatif rendahnya capaian perempuan dibandingkan laki-laki tersebut, diduga disebabkan oleh dua hal. Pertama, bahwa pembangunan yang selama ini dilakukan lebih banyak menguntungkan laki-laki; dan kedua, walaupun pembangunan manusia telah memberikan kesempatan yang sama kepada semua penduduk tanpa terkecuali, namun kesempatan ini belum dapat digunakan secara optimal oleh kelompok lain (dalam hal ini perempuan), sehingga terkesan bahwa perempuan selalu </w:t>
      </w:r>
      <w:r>
        <w:rPr>
          <w:rFonts w:cstheme="minorHAnsi"/>
          <w:sz w:val="20"/>
          <w:szCs w:val="20"/>
        </w:rPr>
        <w:lastRenderedPageBreak/>
        <w:t>termarginalkan (BPS, 2006). Untuk melihat sejauh mana perbedaan capaian antara perempuan dengan laki-laki pada setiap komponen pembentuk IDG, hal ini akan dibahas dalam uraian berikut ini.</w:t>
      </w:r>
    </w:p>
    <w:p>
      <w:pPr>
        <w:jc w:val="center"/>
        <w:rPr>
          <w:rFonts w:cstheme="minorHAnsi"/>
          <w:b/>
          <w:bCs/>
          <w:color w:val="000000" w:themeColor="text1"/>
          <w:sz w:val="20"/>
          <w:szCs w:val="20"/>
        </w:rPr>
      </w:pPr>
      <w:bookmarkStart w:id="129" w:name="_Toc117552838"/>
      <w:r>
        <w:rPr>
          <w:noProof/>
          <w:shd w:val="clear" w:color="auto" w:fill="FFFF00"/>
          <w:lang w:val="en-ID" w:eastAsia="en-ID"/>
        </w:rPr>
        <w:drawing>
          <wp:anchor distT="0" distB="0" distL="114300" distR="114300" simplePos="0" relativeHeight="251675648" behindDoc="0" locked="0" layoutInCell="1" allowOverlap="1">
            <wp:simplePos x="0" y="0"/>
            <wp:positionH relativeFrom="page">
              <wp:posOffset>832021</wp:posOffset>
            </wp:positionH>
            <wp:positionV relativeFrom="paragraph">
              <wp:posOffset>229235</wp:posOffset>
            </wp:positionV>
            <wp:extent cx="3698789" cy="2150076"/>
            <wp:effectExtent l="0" t="0" r="16510" b="3175"/>
            <wp:wrapNone/>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A2A7F2-A638-225F-A876-C7EE35C33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Pr>
          <w:b/>
          <w:bCs/>
          <w:color w:val="000000" w:themeColor="text1"/>
          <w:sz w:val="20"/>
          <w:szCs w:val="20"/>
        </w:rPr>
        <w:t xml:space="preserve">Gambar 8. </w:t>
      </w:r>
      <w:r>
        <w:rPr>
          <w:b/>
          <w:bCs/>
          <w:color w:val="000000" w:themeColor="text1"/>
          <w:sz w:val="20"/>
          <w:szCs w:val="20"/>
        </w:rPr>
        <w:fldChar w:fldCharType="begin"/>
      </w:r>
      <w:r>
        <w:rPr>
          <w:b/>
          <w:bCs/>
          <w:color w:val="000000" w:themeColor="text1"/>
          <w:sz w:val="20"/>
          <w:szCs w:val="20"/>
        </w:rPr>
        <w:instrText xml:space="preserve"> SEQ Gambar_8. \* ARABIC </w:instrText>
      </w:r>
      <w:r>
        <w:rPr>
          <w:b/>
          <w:bCs/>
          <w:color w:val="000000" w:themeColor="text1"/>
          <w:sz w:val="20"/>
          <w:szCs w:val="20"/>
        </w:rPr>
        <w:fldChar w:fldCharType="separate"/>
      </w:r>
      <w:r>
        <w:rPr>
          <w:b/>
          <w:bCs/>
          <w:noProof/>
          <w:color w:val="000000" w:themeColor="text1"/>
          <w:sz w:val="20"/>
          <w:szCs w:val="20"/>
        </w:rPr>
        <w:t>2</w:t>
      </w:r>
      <w:r>
        <w:rPr>
          <w:b/>
          <w:bCs/>
          <w:color w:val="000000" w:themeColor="text1"/>
          <w:sz w:val="20"/>
          <w:szCs w:val="20"/>
        </w:rPr>
        <w:fldChar w:fldCharType="end"/>
      </w:r>
      <w:r>
        <w:rPr>
          <w:b/>
          <w:bCs/>
          <w:color w:val="000000" w:themeColor="text1"/>
          <w:sz w:val="20"/>
          <w:szCs w:val="20"/>
        </w:rPr>
        <w:tab/>
      </w:r>
      <w:r>
        <w:rPr>
          <w:rFonts w:cstheme="minorHAnsi"/>
          <w:b/>
          <w:bCs/>
          <w:color w:val="000000" w:themeColor="text1"/>
          <w:sz w:val="20"/>
          <w:szCs w:val="20"/>
        </w:rPr>
        <w:t>Pencapaian Komponen IDG Kalimantan Tengah, 2021</w:t>
      </w:r>
      <w:bookmarkEnd w:id="129"/>
    </w:p>
    <w:p>
      <w:pPr>
        <w:pStyle w:val="Caption"/>
        <w:rPr>
          <w:rFonts w:cstheme="minorHAnsi"/>
          <w:i w:val="0"/>
          <w:sz w:val="20"/>
          <w:szCs w:val="20"/>
        </w:rPr>
      </w:pPr>
    </w:p>
    <w:p>
      <w:pPr>
        <w:rPr>
          <w:lang w:val="en-US"/>
        </w:rPr>
      </w:pPr>
    </w:p>
    <w:p>
      <w:pPr>
        <w:rPr>
          <w:lang w:val="en-US"/>
        </w:rPr>
      </w:pPr>
    </w:p>
    <w:p>
      <w:pPr>
        <w:rPr>
          <w:lang w:val="en-US"/>
        </w:rPr>
      </w:pPr>
    </w:p>
    <w:p>
      <w:pPr>
        <w:rPr>
          <w:lang w:val="en-US"/>
        </w:rPr>
      </w:pPr>
    </w:p>
    <w:p>
      <w:pPr>
        <w:ind w:right="283"/>
        <w:rPr>
          <w:lang w:val="en-US"/>
        </w:rPr>
      </w:pPr>
    </w:p>
    <w:p>
      <w:pPr>
        <w:rPr>
          <w:lang w:val="en-US"/>
        </w:rPr>
      </w:pPr>
      <w:bookmarkStart w:id="130" w:name="_Toc118716011"/>
    </w:p>
    <w:p>
      <w:pPr>
        <w:pStyle w:val="Heading3"/>
        <w:spacing w:line="360" w:lineRule="auto"/>
        <w:ind w:left="851" w:right="283" w:hanging="567"/>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lang w:val="en-US"/>
        </w:rPr>
        <w:t>8.2.1</w:t>
      </w:r>
      <w:r>
        <w:rPr>
          <w:rFonts w:asciiTheme="minorHAnsi" w:hAnsiTheme="minorHAnsi" w:cstheme="minorHAnsi"/>
          <w:b/>
          <w:bCs/>
          <w:color w:val="000000" w:themeColor="text1"/>
          <w:sz w:val="20"/>
          <w:szCs w:val="20"/>
          <w:lang w:val="en-US"/>
        </w:rPr>
        <w:tab/>
      </w:r>
      <w:r>
        <w:rPr>
          <w:rFonts w:asciiTheme="minorHAnsi" w:hAnsiTheme="minorHAnsi" w:cstheme="minorHAnsi"/>
          <w:b/>
          <w:bCs/>
          <w:color w:val="000000" w:themeColor="text1"/>
          <w:sz w:val="20"/>
          <w:szCs w:val="20"/>
        </w:rPr>
        <w:t>Keterwakilan Perempuan di Parlemen</w:t>
      </w:r>
      <w:bookmarkEnd w:id="130"/>
    </w:p>
    <w:p>
      <w:pPr>
        <w:spacing w:line="360" w:lineRule="auto"/>
        <w:ind w:left="284" w:right="283" w:firstLine="567"/>
        <w:jc w:val="both"/>
        <w:rPr>
          <w:rFonts w:cstheme="minorHAnsi"/>
          <w:sz w:val="20"/>
          <w:szCs w:val="20"/>
        </w:rPr>
      </w:pPr>
      <w:r>
        <w:rPr>
          <w:rFonts w:cstheme="minorHAnsi"/>
          <w:sz w:val="20"/>
          <w:szCs w:val="20"/>
        </w:rPr>
        <w:t>Upaya Pemerintah Provinsi Kalimantan Tengah dalam meningkatkan aksesibilitas penduduknya khususnya perempuan, masih belum maksimal. Hal tersebut ditunjukkan dengan masih terjadinya ketimpangan aksesibilitas antara perempuan dengan laki-laki, diantaranya dalam bidang politik.</w:t>
      </w:r>
    </w:p>
    <w:p>
      <w:pPr>
        <w:pStyle w:val="Heading3"/>
        <w:spacing w:line="360" w:lineRule="auto"/>
        <w:ind w:left="851" w:right="283" w:hanging="567"/>
        <w:rPr>
          <w:rFonts w:asciiTheme="minorHAnsi" w:hAnsiTheme="minorHAnsi" w:cstheme="minorHAnsi"/>
          <w:b/>
          <w:bCs/>
          <w:color w:val="000000" w:themeColor="text1"/>
          <w:sz w:val="20"/>
          <w:szCs w:val="20"/>
        </w:rPr>
      </w:pPr>
      <w:bookmarkStart w:id="131" w:name="_Toc118716012"/>
      <w:r>
        <w:rPr>
          <w:rFonts w:asciiTheme="minorHAnsi" w:hAnsiTheme="minorHAnsi" w:cstheme="minorHAnsi"/>
          <w:b/>
          <w:bCs/>
          <w:color w:val="000000" w:themeColor="text1"/>
          <w:sz w:val="20"/>
          <w:szCs w:val="20"/>
          <w:lang w:val="en-US"/>
        </w:rPr>
        <w:lastRenderedPageBreak/>
        <w:t xml:space="preserve">8.2.2 </w:t>
      </w:r>
      <w:r>
        <w:rPr>
          <w:rFonts w:asciiTheme="minorHAnsi" w:hAnsiTheme="minorHAnsi" w:cstheme="minorHAnsi"/>
          <w:b/>
          <w:bCs/>
          <w:color w:val="000000" w:themeColor="text1"/>
          <w:sz w:val="20"/>
          <w:szCs w:val="20"/>
          <w:lang w:val="en-US"/>
        </w:rPr>
        <w:tab/>
        <w:t>P</w:t>
      </w:r>
      <w:r>
        <w:rPr>
          <w:rFonts w:asciiTheme="minorHAnsi" w:hAnsiTheme="minorHAnsi" w:cstheme="minorHAnsi"/>
          <w:b/>
          <w:bCs/>
          <w:color w:val="000000" w:themeColor="text1"/>
          <w:sz w:val="20"/>
          <w:szCs w:val="20"/>
        </w:rPr>
        <w:t>erkembangan Jumlah Anggota DPRD Provinsi Kalimantan Tengah</w:t>
      </w:r>
      <w:bookmarkEnd w:id="131"/>
    </w:p>
    <w:p>
      <w:pPr>
        <w:autoSpaceDE w:val="0"/>
        <w:autoSpaceDN w:val="0"/>
        <w:adjustRightInd w:val="0"/>
        <w:spacing w:line="360" w:lineRule="auto"/>
        <w:ind w:left="284" w:right="283" w:firstLine="567"/>
        <w:jc w:val="both"/>
        <w:rPr>
          <w:rFonts w:cstheme="minorHAnsi"/>
          <w:sz w:val="20"/>
          <w:szCs w:val="20"/>
        </w:rPr>
      </w:pPr>
      <w:r>
        <w:rPr>
          <w:rFonts w:cstheme="minorHAnsi"/>
          <w:sz w:val="20"/>
          <w:szCs w:val="20"/>
        </w:rPr>
        <w:t xml:space="preserve">Keterwakilan perempuan di DPRD Provinsi Kalimantan Tengah sudah sesuai target minimum keterwakilan 30 persen perempuan, yaitu sebesar 33,33 persen (lihat Gambar </w:t>
      </w:r>
      <w:r>
        <w:rPr>
          <w:rFonts w:cstheme="minorHAnsi"/>
          <w:sz w:val="20"/>
          <w:szCs w:val="20"/>
          <w:lang w:val="en-US"/>
        </w:rPr>
        <w:t>8</w:t>
      </w:r>
      <w:r>
        <w:rPr>
          <w:rFonts w:cstheme="minorHAnsi"/>
          <w:sz w:val="20"/>
          <w:szCs w:val="20"/>
        </w:rPr>
        <w:t xml:space="preserve">.3). </w:t>
      </w:r>
    </w:p>
    <w:p>
      <w:pPr>
        <w:pStyle w:val="Caption"/>
        <w:ind w:left="1418" w:hanging="1134"/>
        <w:rPr>
          <w:rFonts w:cstheme="minorHAnsi"/>
          <w:b/>
          <w:bCs/>
          <w:i w:val="0"/>
          <w:iCs w:val="0"/>
          <w:color w:val="000000" w:themeColor="text1"/>
          <w:sz w:val="20"/>
          <w:szCs w:val="20"/>
        </w:rPr>
      </w:pPr>
      <w:bookmarkStart w:id="132" w:name="_Toc117552839"/>
      <w:r>
        <w:rPr>
          <w:noProof/>
          <w:lang w:val="en-ID" w:eastAsia="en-ID"/>
        </w:rPr>
        <w:drawing>
          <wp:anchor distT="0" distB="0" distL="114300" distR="114300" simplePos="0" relativeHeight="251671552" behindDoc="0" locked="0" layoutInCell="1" allowOverlap="1">
            <wp:simplePos x="0" y="0"/>
            <wp:positionH relativeFrom="column">
              <wp:posOffset>188152</wp:posOffset>
            </wp:positionH>
            <wp:positionV relativeFrom="paragraph">
              <wp:posOffset>415438</wp:posOffset>
            </wp:positionV>
            <wp:extent cx="3749675" cy="2286000"/>
            <wp:effectExtent l="0" t="0" r="3175" b="0"/>
            <wp:wrapNone/>
            <wp:docPr id="16" name="Chart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45E58A-EBBD-D75E-7454-FB74DDE4B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Pr>
          <w:b/>
          <w:bCs/>
          <w:i w:val="0"/>
          <w:iCs w:val="0"/>
          <w:color w:val="000000" w:themeColor="text1"/>
          <w:sz w:val="20"/>
          <w:szCs w:val="20"/>
        </w:rPr>
        <w:t xml:space="preserve">Gambar 8. </w:t>
      </w:r>
      <w:r>
        <w:rPr>
          <w:b/>
          <w:bCs/>
          <w:i w:val="0"/>
          <w:iCs w:val="0"/>
          <w:color w:val="000000" w:themeColor="text1"/>
          <w:sz w:val="20"/>
          <w:szCs w:val="20"/>
        </w:rPr>
        <w:fldChar w:fldCharType="begin"/>
      </w:r>
      <w:r>
        <w:rPr>
          <w:b/>
          <w:bCs/>
          <w:i w:val="0"/>
          <w:iCs w:val="0"/>
          <w:color w:val="000000" w:themeColor="text1"/>
          <w:sz w:val="20"/>
          <w:szCs w:val="20"/>
        </w:rPr>
        <w:instrText xml:space="preserve"> SEQ Gambar_8. \* ARABIC </w:instrText>
      </w:r>
      <w:r>
        <w:rPr>
          <w:b/>
          <w:bCs/>
          <w:i w:val="0"/>
          <w:iCs w:val="0"/>
          <w:color w:val="000000" w:themeColor="text1"/>
          <w:sz w:val="20"/>
          <w:szCs w:val="20"/>
        </w:rPr>
        <w:fldChar w:fldCharType="separate"/>
      </w:r>
      <w:r>
        <w:rPr>
          <w:b/>
          <w:bCs/>
          <w:i w:val="0"/>
          <w:iCs w:val="0"/>
          <w:noProof/>
          <w:color w:val="000000" w:themeColor="text1"/>
          <w:sz w:val="20"/>
          <w:szCs w:val="20"/>
        </w:rPr>
        <w:t>3</w:t>
      </w:r>
      <w:r>
        <w:rPr>
          <w:b/>
          <w:bCs/>
          <w:i w:val="0"/>
          <w:iCs w:val="0"/>
          <w:color w:val="000000" w:themeColor="text1"/>
          <w:sz w:val="20"/>
          <w:szCs w:val="20"/>
        </w:rPr>
        <w:fldChar w:fldCharType="end"/>
      </w:r>
      <w:r>
        <w:rPr>
          <w:b/>
          <w:bCs/>
          <w:i w:val="0"/>
          <w:iCs w:val="0"/>
          <w:color w:val="000000" w:themeColor="text1"/>
          <w:sz w:val="20"/>
          <w:szCs w:val="20"/>
        </w:rPr>
        <w:tab/>
      </w:r>
      <w:r>
        <w:rPr>
          <w:b/>
          <w:bCs/>
          <w:i w:val="0"/>
          <w:iCs w:val="0"/>
          <w:color w:val="000000" w:themeColor="text1"/>
          <w:sz w:val="20"/>
          <w:szCs w:val="20"/>
          <w:lang w:val="en-US"/>
        </w:rPr>
        <w:t>P</w:t>
      </w:r>
      <w:r>
        <w:rPr>
          <w:rFonts w:cstheme="minorHAnsi"/>
          <w:b/>
          <w:bCs/>
          <w:i w:val="0"/>
          <w:iCs w:val="0"/>
          <w:color w:val="000000" w:themeColor="text1"/>
          <w:sz w:val="20"/>
          <w:szCs w:val="20"/>
        </w:rPr>
        <w:t>encapaian Peran Perempuan di Parlemen Kalimantan Tengah, 2021</w:t>
      </w:r>
      <w:bookmarkEnd w:id="132"/>
    </w:p>
    <w:p/>
    <w:p/>
    <w:p/>
    <w:p/>
    <w:p/>
    <w:p/>
    <w:p/>
    <w:p>
      <w:pPr>
        <w:spacing w:after="0" w:line="360" w:lineRule="auto"/>
        <w:ind w:left="284"/>
        <w:jc w:val="both"/>
        <w:rPr>
          <w:rFonts w:cstheme="minorHAnsi"/>
          <w:i/>
          <w:iCs/>
          <w:sz w:val="18"/>
          <w:szCs w:val="18"/>
        </w:rPr>
      </w:pPr>
      <w:r>
        <w:rPr>
          <w:rFonts w:cstheme="minorHAnsi"/>
          <w:i/>
          <w:iCs/>
          <w:sz w:val="18"/>
          <w:szCs w:val="18"/>
        </w:rPr>
        <w:t>Sumber: Sekretariat DPRD, 2021</w:t>
      </w:r>
    </w:p>
    <w:p>
      <w:pPr>
        <w:autoSpaceDE w:val="0"/>
        <w:autoSpaceDN w:val="0"/>
        <w:adjustRightInd w:val="0"/>
        <w:spacing w:line="360" w:lineRule="auto"/>
        <w:ind w:left="284" w:right="142" w:firstLine="567"/>
        <w:jc w:val="both"/>
        <w:rPr>
          <w:rFonts w:cstheme="minorHAnsi"/>
          <w:sz w:val="20"/>
          <w:szCs w:val="20"/>
        </w:rPr>
      </w:pPr>
      <w:r>
        <w:rPr>
          <w:rFonts w:cstheme="minorHAnsi"/>
          <w:sz w:val="20"/>
          <w:szCs w:val="20"/>
        </w:rPr>
        <w:t xml:space="preserve">Indikator lain yang juga digunakan dalam pembentukan IDG adalah persentase perempuan sebagai tenaga manager, profesional, kepemimpinan, dan teknisi. Indikator ini menunjukkan peranan perempuan dalam pengambilan keputusan di bidang penyelenggaraan pemerintahan, kehidupan ekonomi dan sosial. Keterlibatan perempuan di posisi ini memberikan gambaran kemajuan peranan perempuan. Selama </w:t>
      </w:r>
      <w:r>
        <w:rPr>
          <w:rFonts w:cstheme="minorHAnsi"/>
          <w:sz w:val="20"/>
          <w:szCs w:val="20"/>
        </w:rPr>
        <w:lastRenderedPageBreak/>
        <w:t xml:space="preserve">ini perempuan dipandang hanya berurusan dengan pekerjaan rumah tangga, padahal perempuan sebenarnya memiliki potensi yang sama baiknya dengan laki-laki. Perempuan hanya kurang memiliki kesempatan karena terbentur oleh persoalan budaya serta kodrat yang melekat terkait dengan fungsi-fungsi reproduksi (Parawansa, 2003). Sayangnya, keterlibatan perempuan dalam pengambilan keputusan-keputusan strategis pada bidang penyelenggaraan pemerintahan, swasta, dan organisasi sosial lainnya masih relatif kecil, mengingat masih terbatasnya perempuan sebagai tenaga profesional, kepemimpinan/managerial, administrasi, serta teknisi. Gambar 10.4 menunjukkan bahwa komponen persentase perempuan di tenaga manager, profesional, administrasi, dan teknisi hampir sama dengan persentase laki-laki. Terlihat juga bahwa terdapat 4 (empat) kabupaten/kota persentase perempuannya lebih besar dibandingkan laki-laki, yaitu kabupaten Barito Timur, kabupaten Barito Utara, kabupaten Lamandau, dan kabupaten Kapuas. </w:t>
      </w:r>
    </w:p>
    <w:p>
      <w:pPr>
        <w:rPr>
          <w:lang w:val="en-US"/>
        </w:rPr>
      </w:pPr>
    </w:p>
    <w:p>
      <w:pPr>
        <w:rPr>
          <w:lang w:val="en-US"/>
        </w:rPr>
      </w:pPr>
    </w:p>
    <w:p>
      <w:pPr>
        <w:rPr>
          <w:lang w:val="en-US"/>
        </w:rPr>
      </w:pPr>
    </w:p>
    <w:p>
      <w:pPr>
        <w:rPr>
          <w:lang w:val="en-US"/>
        </w:rPr>
      </w:pPr>
    </w:p>
    <w:p>
      <w:pPr>
        <w:rPr>
          <w:lang w:val="en-US"/>
        </w:rPr>
      </w:pPr>
    </w:p>
    <w:p>
      <w:pPr>
        <w:rPr>
          <w:lang w:val="en-US"/>
        </w:rPr>
      </w:pPr>
    </w:p>
    <w:p>
      <w:pPr>
        <w:ind w:left="1418" w:right="142" w:hanging="1134"/>
        <w:jc w:val="both"/>
        <w:rPr>
          <w:rFonts w:cstheme="minorHAnsi"/>
          <w:b/>
          <w:bCs/>
          <w:color w:val="000000" w:themeColor="text1"/>
          <w:sz w:val="20"/>
          <w:szCs w:val="20"/>
        </w:rPr>
      </w:pPr>
      <w:bookmarkStart w:id="133" w:name="_Toc117552840"/>
      <w:r>
        <w:rPr>
          <w:noProof/>
          <w:lang w:val="en-ID" w:eastAsia="en-ID"/>
        </w:rPr>
        <w:lastRenderedPageBreak/>
        <w:drawing>
          <wp:anchor distT="0" distB="0" distL="114300" distR="114300" simplePos="0" relativeHeight="251681792" behindDoc="0" locked="0" layoutInCell="1" allowOverlap="1">
            <wp:simplePos x="0" y="0"/>
            <wp:positionH relativeFrom="column">
              <wp:posOffset>202185</wp:posOffset>
            </wp:positionH>
            <wp:positionV relativeFrom="paragraph">
              <wp:posOffset>362428</wp:posOffset>
            </wp:positionV>
            <wp:extent cx="3752850" cy="2552700"/>
            <wp:effectExtent l="0" t="0" r="0" b="0"/>
            <wp:wrapNone/>
            <wp:docPr id="12" name="Chart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970966-6AED-4782-ACD1-DF6953979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Pr>
          <w:b/>
          <w:bCs/>
          <w:color w:val="000000" w:themeColor="text1"/>
          <w:sz w:val="20"/>
          <w:szCs w:val="20"/>
        </w:rPr>
        <w:t xml:space="preserve">Gambar 8. </w:t>
      </w:r>
      <w:r>
        <w:rPr>
          <w:b/>
          <w:bCs/>
          <w:color w:val="000000" w:themeColor="text1"/>
          <w:sz w:val="20"/>
          <w:szCs w:val="20"/>
        </w:rPr>
        <w:fldChar w:fldCharType="begin"/>
      </w:r>
      <w:r>
        <w:rPr>
          <w:b/>
          <w:bCs/>
          <w:color w:val="000000" w:themeColor="text1"/>
          <w:sz w:val="20"/>
          <w:szCs w:val="20"/>
        </w:rPr>
        <w:instrText xml:space="preserve"> SEQ Gambar_8. \* ARABIC </w:instrText>
      </w:r>
      <w:r>
        <w:rPr>
          <w:b/>
          <w:bCs/>
          <w:color w:val="000000" w:themeColor="text1"/>
          <w:sz w:val="20"/>
          <w:szCs w:val="20"/>
        </w:rPr>
        <w:fldChar w:fldCharType="separate"/>
      </w:r>
      <w:r>
        <w:rPr>
          <w:b/>
          <w:bCs/>
          <w:noProof/>
          <w:color w:val="000000" w:themeColor="text1"/>
          <w:sz w:val="20"/>
          <w:szCs w:val="20"/>
        </w:rPr>
        <w:t>4</w:t>
      </w:r>
      <w:r>
        <w:rPr>
          <w:b/>
          <w:bCs/>
          <w:color w:val="000000" w:themeColor="text1"/>
          <w:sz w:val="20"/>
          <w:szCs w:val="20"/>
        </w:rPr>
        <w:fldChar w:fldCharType="end"/>
      </w:r>
      <w:r>
        <w:rPr>
          <w:b/>
          <w:bCs/>
          <w:color w:val="000000" w:themeColor="text1"/>
          <w:sz w:val="20"/>
          <w:szCs w:val="20"/>
        </w:rPr>
        <w:tab/>
      </w:r>
      <w:r>
        <w:rPr>
          <w:rFonts w:cstheme="minorHAnsi"/>
          <w:b/>
          <w:bCs/>
          <w:color w:val="000000" w:themeColor="text1"/>
          <w:sz w:val="20"/>
          <w:szCs w:val="20"/>
        </w:rPr>
        <w:t>Pencapaian Peran Perempuan sebagai Tenaga Professional Kalimantan Tengah, 2021</w:t>
      </w:r>
      <w:bookmarkEnd w:id="133"/>
    </w:p>
    <w:p>
      <w:pPr>
        <w:ind w:left="1418" w:right="142" w:hanging="1134"/>
        <w:jc w:val="both"/>
        <w:rPr>
          <w:rFonts w:cstheme="minorHAnsi"/>
          <w:b/>
          <w:bCs/>
          <w:color w:val="000000" w:themeColor="text1"/>
          <w:sz w:val="20"/>
          <w:szCs w:val="20"/>
        </w:rPr>
      </w:pPr>
    </w:p>
    <w:p>
      <w:pPr>
        <w:ind w:left="1418" w:right="142" w:hanging="1134"/>
        <w:jc w:val="both"/>
        <w:rPr>
          <w:rFonts w:cstheme="minorHAnsi"/>
          <w:b/>
          <w:bCs/>
          <w:color w:val="000000" w:themeColor="text1"/>
          <w:sz w:val="20"/>
          <w:szCs w:val="20"/>
        </w:rPr>
      </w:pPr>
    </w:p>
    <w:p>
      <w:pPr>
        <w:ind w:left="1418" w:right="142" w:hanging="1134"/>
        <w:jc w:val="both"/>
        <w:rPr>
          <w:rFonts w:cstheme="minorHAnsi"/>
          <w:b/>
          <w:bCs/>
          <w:color w:val="000000" w:themeColor="text1"/>
          <w:sz w:val="20"/>
          <w:szCs w:val="20"/>
        </w:rPr>
      </w:pPr>
    </w:p>
    <w:p>
      <w:pPr>
        <w:ind w:left="1418" w:right="142" w:hanging="1134"/>
        <w:jc w:val="both"/>
        <w:rPr>
          <w:rFonts w:cstheme="minorHAnsi"/>
          <w:b/>
          <w:bCs/>
          <w:color w:val="000000" w:themeColor="text1"/>
          <w:sz w:val="20"/>
          <w:szCs w:val="20"/>
        </w:rPr>
      </w:pPr>
    </w:p>
    <w:p>
      <w:pPr>
        <w:ind w:left="1418" w:right="142" w:hanging="1134"/>
        <w:jc w:val="both"/>
        <w:rPr>
          <w:rFonts w:cstheme="minorHAnsi"/>
          <w:b/>
          <w:bCs/>
          <w:color w:val="000000" w:themeColor="text1"/>
          <w:sz w:val="20"/>
          <w:szCs w:val="20"/>
        </w:rPr>
      </w:pPr>
    </w:p>
    <w:p>
      <w:pPr>
        <w:ind w:left="1418" w:right="142" w:hanging="1134"/>
        <w:jc w:val="both"/>
        <w:rPr>
          <w:rFonts w:cstheme="minorHAnsi"/>
          <w:b/>
          <w:bCs/>
          <w:color w:val="000000" w:themeColor="text1"/>
          <w:sz w:val="20"/>
          <w:szCs w:val="20"/>
        </w:rPr>
      </w:pPr>
    </w:p>
    <w:p>
      <w:pPr>
        <w:ind w:left="1418" w:right="142" w:hanging="1134"/>
        <w:jc w:val="both"/>
        <w:rPr>
          <w:rFonts w:cstheme="minorHAnsi"/>
          <w:b/>
          <w:bCs/>
          <w:color w:val="000000" w:themeColor="text1"/>
          <w:sz w:val="20"/>
          <w:szCs w:val="20"/>
        </w:rPr>
      </w:pPr>
    </w:p>
    <w:p>
      <w:pPr>
        <w:ind w:left="1276" w:hanging="992"/>
        <w:jc w:val="both"/>
        <w:rPr>
          <w:rFonts w:cstheme="minorHAnsi"/>
          <w:b/>
          <w:bCs/>
          <w:color w:val="000000" w:themeColor="text1"/>
          <w:sz w:val="20"/>
          <w:szCs w:val="20"/>
        </w:rPr>
      </w:pPr>
    </w:p>
    <w:p>
      <w:pPr>
        <w:spacing w:line="360" w:lineRule="auto"/>
        <w:ind w:left="284"/>
        <w:jc w:val="both"/>
        <w:rPr>
          <w:rFonts w:cstheme="minorHAnsi"/>
          <w:i/>
          <w:iCs/>
          <w:sz w:val="16"/>
          <w:szCs w:val="16"/>
        </w:rPr>
      </w:pPr>
      <w:r>
        <w:rPr>
          <w:rFonts w:cstheme="minorHAnsi"/>
          <w:i/>
          <w:iCs/>
          <w:noProof/>
          <w:sz w:val="16"/>
          <w:szCs w:val="16"/>
          <w:lang w:val="en-ID" w:eastAsia="en-ID"/>
        </w:rPr>
        <w:drawing>
          <wp:anchor distT="0" distB="0" distL="114300" distR="114300" simplePos="0" relativeHeight="251672576" behindDoc="0" locked="0" layoutInCell="1" allowOverlap="1">
            <wp:simplePos x="0" y="0"/>
            <wp:positionH relativeFrom="column">
              <wp:posOffset>2020570</wp:posOffset>
            </wp:positionH>
            <wp:positionV relativeFrom="paragraph">
              <wp:posOffset>5431155</wp:posOffset>
            </wp:positionV>
            <wp:extent cx="3982085" cy="1743710"/>
            <wp:effectExtent l="1270" t="1905" r="0" b="0"/>
            <wp:wrapNone/>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Pr>
          <w:rFonts w:cstheme="minorHAnsi"/>
          <w:i/>
          <w:iCs/>
          <w:sz w:val="16"/>
          <w:szCs w:val="16"/>
        </w:rPr>
        <w:t>Sumber : KPPA-BPS, Pembangunan Manusia Berbasis Gender 2021</w:t>
      </w:r>
    </w:p>
    <w:p>
      <w:pPr>
        <w:autoSpaceDE w:val="0"/>
        <w:autoSpaceDN w:val="0"/>
        <w:adjustRightInd w:val="0"/>
        <w:spacing w:line="360" w:lineRule="auto"/>
        <w:ind w:left="284" w:right="142" w:firstLine="567"/>
        <w:jc w:val="both"/>
        <w:rPr>
          <w:rFonts w:cstheme="minorHAnsi"/>
          <w:sz w:val="20"/>
          <w:szCs w:val="20"/>
        </w:rPr>
      </w:pPr>
      <w:r>
        <w:rPr>
          <w:rFonts w:cstheme="minorHAnsi"/>
          <w:sz w:val="20"/>
          <w:szCs w:val="20"/>
        </w:rPr>
        <w:t>Pencapaian perempuan sebagai tenaga professional meningkat pada tahun 2021 yaitu sebesar 47,36 persen dibandingkan tahun 2020 sebesar 46,12 persen. Selanjutnya perkembangan tingkat partisipasi angkatan kerja (TPAK) periode 2019-2021 dapat dilihat pada gambar Gambar 10.5. Dari gambar tersebut, tampak bahwa TPAK perempuan mengalami sedikit penurunan dibandingkan tahun 2019 sebesar 51,53 menjadi 51,12 selama pandemi Covid-19. Hal ini menunjukkan bahwa peran perempuan sedikit berkurang dalam pemenuhan kebutuhan ekonomi keluarga. Jika dilihat dari komposisi TPAK, tampak bahwa TPAK Provinsi Kalimantan Tengah masih didominasi oleh laki-laki.</w:t>
      </w:r>
    </w:p>
    <w:p>
      <w:pPr>
        <w:pStyle w:val="Caption"/>
        <w:ind w:left="1418" w:hanging="1134"/>
        <w:rPr>
          <w:rFonts w:cstheme="minorHAnsi"/>
          <w:b/>
          <w:bCs/>
          <w:i w:val="0"/>
          <w:iCs w:val="0"/>
          <w:color w:val="000000" w:themeColor="text1"/>
          <w:sz w:val="20"/>
          <w:szCs w:val="20"/>
        </w:rPr>
      </w:pPr>
      <w:bookmarkStart w:id="134" w:name="_Toc117552841"/>
      <w:r>
        <w:rPr>
          <w:noProof/>
          <w:lang w:val="en-ID" w:eastAsia="en-ID"/>
        </w:rPr>
        <w:lastRenderedPageBreak/>
        <w:drawing>
          <wp:anchor distT="0" distB="0" distL="114300" distR="114300" simplePos="0" relativeHeight="251673600" behindDoc="0" locked="0" layoutInCell="1" allowOverlap="1">
            <wp:simplePos x="0" y="0"/>
            <wp:positionH relativeFrom="column">
              <wp:posOffset>178942</wp:posOffset>
            </wp:positionH>
            <wp:positionV relativeFrom="paragraph">
              <wp:posOffset>394340</wp:posOffset>
            </wp:positionV>
            <wp:extent cx="3749429" cy="2273935"/>
            <wp:effectExtent l="0" t="0" r="0" b="0"/>
            <wp:wrapNone/>
            <wp:docPr id="21" name="Chart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B9EC34-FC49-1876-B64A-84E03D84B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anchor>
        </w:drawing>
      </w:r>
      <w:r>
        <w:rPr>
          <w:b/>
          <w:bCs/>
          <w:i w:val="0"/>
          <w:iCs w:val="0"/>
          <w:color w:val="000000" w:themeColor="text1"/>
          <w:sz w:val="20"/>
          <w:szCs w:val="20"/>
        </w:rPr>
        <w:t xml:space="preserve">Gambar 8. </w:t>
      </w:r>
      <w:r>
        <w:rPr>
          <w:b/>
          <w:bCs/>
          <w:i w:val="0"/>
          <w:iCs w:val="0"/>
          <w:color w:val="000000" w:themeColor="text1"/>
          <w:sz w:val="20"/>
          <w:szCs w:val="20"/>
        </w:rPr>
        <w:fldChar w:fldCharType="begin"/>
      </w:r>
      <w:r>
        <w:rPr>
          <w:b/>
          <w:bCs/>
          <w:i w:val="0"/>
          <w:iCs w:val="0"/>
          <w:color w:val="000000" w:themeColor="text1"/>
          <w:sz w:val="20"/>
          <w:szCs w:val="20"/>
        </w:rPr>
        <w:instrText xml:space="preserve"> SEQ Gambar_8. \* ARABIC </w:instrText>
      </w:r>
      <w:r>
        <w:rPr>
          <w:b/>
          <w:bCs/>
          <w:i w:val="0"/>
          <w:iCs w:val="0"/>
          <w:color w:val="000000" w:themeColor="text1"/>
          <w:sz w:val="20"/>
          <w:szCs w:val="20"/>
        </w:rPr>
        <w:fldChar w:fldCharType="separate"/>
      </w:r>
      <w:r>
        <w:rPr>
          <w:b/>
          <w:bCs/>
          <w:i w:val="0"/>
          <w:iCs w:val="0"/>
          <w:noProof/>
          <w:color w:val="000000" w:themeColor="text1"/>
          <w:sz w:val="20"/>
          <w:szCs w:val="20"/>
        </w:rPr>
        <w:t>5</w:t>
      </w:r>
      <w:r>
        <w:rPr>
          <w:b/>
          <w:bCs/>
          <w:i w:val="0"/>
          <w:iCs w:val="0"/>
          <w:color w:val="000000" w:themeColor="text1"/>
          <w:sz w:val="20"/>
          <w:szCs w:val="20"/>
        </w:rPr>
        <w:fldChar w:fldCharType="end"/>
      </w:r>
      <w:r>
        <w:rPr>
          <w:b/>
          <w:bCs/>
          <w:i w:val="0"/>
          <w:iCs w:val="0"/>
          <w:color w:val="000000" w:themeColor="text1"/>
          <w:sz w:val="20"/>
          <w:szCs w:val="20"/>
        </w:rPr>
        <w:tab/>
      </w:r>
      <w:r>
        <w:rPr>
          <w:rFonts w:cstheme="minorHAnsi"/>
          <w:b/>
          <w:bCs/>
          <w:i w:val="0"/>
          <w:iCs w:val="0"/>
          <w:color w:val="000000" w:themeColor="text1"/>
          <w:sz w:val="20"/>
          <w:szCs w:val="20"/>
        </w:rPr>
        <w:t>Pencapaian TPAK Menurut Jenis Kelamin Kalimantan Tengah, 2021</w:t>
      </w:r>
      <w:bookmarkEnd w:id="134"/>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spacing w:line="360" w:lineRule="auto"/>
        <w:ind w:firstLine="360"/>
        <w:rPr>
          <w:rFonts w:cstheme="minorHAnsi"/>
          <w:i/>
          <w:iCs/>
          <w:sz w:val="16"/>
          <w:szCs w:val="16"/>
        </w:rPr>
      </w:pPr>
      <w:r>
        <w:rPr>
          <w:rFonts w:cstheme="minorHAnsi"/>
          <w:i/>
          <w:iCs/>
          <w:sz w:val="16"/>
          <w:szCs w:val="16"/>
        </w:rPr>
        <w:t>Sumber: BPS, 2019-2021</w:t>
      </w:r>
    </w:p>
    <w:p>
      <w:pPr>
        <w:autoSpaceDE w:val="0"/>
        <w:autoSpaceDN w:val="0"/>
        <w:adjustRightInd w:val="0"/>
        <w:spacing w:after="0" w:line="360" w:lineRule="auto"/>
        <w:ind w:left="284" w:right="142" w:firstLine="567"/>
        <w:jc w:val="both"/>
        <w:rPr>
          <w:rFonts w:cstheme="minorHAnsi"/>
          <w:color w:val="000000" w:themeColor="text1"/>
          <w:sz w:val="20"/>
          <w:szCs w:val="20"/>
        </w:rPr>
      </w:pPr>
      <w:r>
        <w:rPr>
          <w:rFonts w:cstheme="minorHAnsi"/>
          <w:color w:val="000000" w:themeColor="text1"/>
          <w:sz w:val="20"/>
          <w:szCs w:val="20"/>
        </w:rPr>
        <w:t xml:space="preserve">Informasi lain terkait peranan perempuan dalam komponen tenaga manager, profesional, kepemimpinan, dan teknisi, adalah formasi perempuan sebagai pegawai negeri sipil (PNS). Tabel 10.1 menunjukkan bahwa persentase PNS perempuan menurut jenjang jabatan (Eselon I-IV) tahun 2021. Rendahnya kesenjangan persentase PNS perempuan dan laki-laki merupakan sebuah indikasi yang cukup positif dalam rangka menuju keadilan dan kesetaraan gender. Namun, masih terdapat persoalan lain yang harus diperhatikan terkait peranan perempuan sebagai PNS, khususnya sebagai pejabat struktural yang sangat berperan dalam pengambilan keputusan. Pejabat struktural di PNS ternyata masih didominasi oleh laki-laki, yakni sebanyak 65,11 persen pada tahun 2021, sedangkan pejabat stuktural perempuan hanya sebanyak 34,89 persen. </w:t>
      </w:r>
      <w:r>
        <w:rPr>
          <w:rFonts w:cstheme="minorHAnsi"/>
          <w:color w:val="000000" w:themeColor="text1"/>
          <w:sz w:val="20"/>
          <w:szCs w:val="20"/>
        </w:rPr>
        <w:lastRenderedPageBreak/>
        <w:t>Hal ini menunjukkan bahwa peran perempuan dalam pengambilan keputusan masih relatif kecil. Untuk itu masih diperlukan upaya lebih serius dari berbagai pihak terutama penentu kebijakan dalam rangka mendorong perempuan lebih maju dalam mencapai kapabilitas yang optimum sehingga dapat berpeluang menduduki jabatan-jabatan strategis.</w:t>
      </w:r>
    </w:p>
    <w:p>
      <w:pPr>
        <w:pStyle w:val="Caption"/>
        <w:spacing w:before="240" w:line="276" w:lineRule="auto"/>
        <w:ind w:left="1418" w:hanging="1134"/>
        <w:rPr>
          <w:b/>
          <w:bCs/>
          <w:i w:val="0"/>
          <w:iCs w:val="0"/>
          <w:color w:val="000000" w:themeColor="text1"/>
          <w:sz w:val="20"/>
          <w:szCs w:val="20"/>
        </w:rPr>
      </w:pPr>
      <w:bookmarkStart w:id="135" w:name="_Toc117552871"/>
    </w:p>
    <w:p>
      <w:pPr>
        <w:pStyle w:val="Caption"/>
        <w:spacing w:before="240" w:line="276" w:lineRule="auto"/>
        <w:ind w:left="1418" w:hanging="1134"/>
        <w:rPr>
          <w:b/>
          <w:bCs/>
          <w:i w:val="0"/>
          <w:iCs w:val="0"/>
          <w:color w:val="000000" w:themeColor="text1"/>
          <w:sz w:val="20"/>
          <w:szCs w:val="20"/>
        </w:rPr>
      </w:pPr>
    </w:p>
    <w:p>
      <w:pPr>
        <w:pStyle w:val="Caption"/>
        <w:spacing w:before="240" w:line="276" w:lineRule="auto"/>
        <w:ind w:left="1418" w:hanging="1134"/>
        <w:rPr>
          <w:b/>
          <w:bCs/>
          <w:i w:val="0"/>
          <w:iCs w:val="0"/>
          <w:color w:val="000000" w:themeColor="text1"/>
          <w:sz w:val="20"/>
          <w:szCs w:val="20"/>
        </w:rPr>
      </w:pPr>
    </w:p>
    <w:p>
      <w:pPr>
        <w:pStyle w:val="Caption"/>
        <w:spacing w:before="240" w:line="276" w:lineRule="auto"/>
        <w:ind w:left="1418" w:hanging="1134"/>
        <w:rPr>
          <w:b/>
          <w:bCs/>
          <w:i w:val="0"/>
          <w:iCs w:val="0"/>
          <w:color w:val="000000" w:themeColor="text1"/>
          <w:sz w:val="20"/>
          <w:szCs w:val="20"/>
        </w:rPr>
      </w:pPr>
    </w:p>
    <w:p>
      <w:pPr>
        <w:pStyle w:val="Caption"/>
        <w:spacing w:before="240" w:line="276" w:lineRule="auto"/>
        <w:ind w:left="1418" w:hanging="1134"/>
        <w:rPr>
          <w:b/>
          <w:bCs/>
          <w:i w:val="0"/>
          <w:iCs w:val="0"/>
          <w:color w:val="000000" w:themeColor="text1"/>
          <w:sz w:val="20"/>
          <w:szCs w:val="20"/>
        </w:rPr>
      </w:pPr>
    </w:p>
    <w:p>
      <w:pPr>
        <w:pStyle w:val="Caption"/>
        <w:spacing w:before="240" w:line="276" w:lineRule="auto"/>
        <w:ind w:left="1418" w:hanging="1134"/>
        <w:rPr>
          <w:b/>
          <w:bCs/>
          <w:i w:val="0"/>
          <w:iCs w:val="0"/>
          <w:color w:val="000000" w:themeColor="text1"/>
          <w:sz w:val="20"/>
          <w:szCs w:val="20"/>
        </w:rPr>
      </w:pPr>
    </w:p>
    <w:p>
      <w:pPr>
        <w:pStyle w:val="Caption"/>
        <w:spacing w:before="240" w:line="276" w:lineRule="auto"/>
        <w:ind w:left="1418" w:hanging="1134"/>
        <w:rPr>
          <w:b/>
          <w:bCs/>
          <w:i w:val="0"/>
          <w:iCs w:val="0"/>
          <w:color w:val="000000" w:themeColor="text1"/>
          <w:sz w:val="20"/>
          <w:szCs w:val="20"/>
        </w:rPr>
      </w:pPr>
    </w:p>
    <w:p>
      <w:pPr>
        <w:pStyle w:val="Caption"/>
        <w:spacing w:before="240" w:line="276" w:lineRule="auto"/>
        <w:ind w:left="1418" w:hanging="1134"/>
        <w:rPr>
          <w:b/>
          <w:bCs/>
          <w:i w:val="0"/>
          <w:iCs w:val="0"/>
          <w:color w:val="000000" w:themeColor="text1"/>
          <w:sz w:val="20"/>
          <w:szCs w:val="20"/>
        </w:rPr>
      </w:pPr>
    </w:p>
    <w:p/>
    <w:p/>
    <w:p/>
    <w:p/>
    <w:p>
      <w:pPr>
        <w:pStyle w:val="Caption"/>
        <w:spacing w:before="240" w:line="276" w:lineRule="auto"/>
        <w:ind w:left="1418" w:hanging="1134"/>
        <w:rPr>
          <w:rFonts w:cstheme="minorHAnsi"/>
          <w:b/>
          <w:bCs/>
          <w:i w:val="0"/>
          <w:iCs w:val="0"/>
          <w:color w:val="000000" w:themeColor="text1"/>
          <w:sz w:val="20"/>
          <w:szCs w:val="20"/>
        </w:rPr>
      </w:pPr>
      <w:r>
        <w:rPr>
          <w:b/>
          <w:bCs/>
          <w:i w:val="0"/>
          <w:iCs w:val="0"/>
          <w:color w:val="000000" w:themeColor="text1"/>
          <w:sz w:val="20"/>
          <w:szCs w:val="20"/>
        </w:rPr>
        <w:lastRenderedPageBreak/>
        <w:t xml:space="preserve">Tabel 8. </w:t>
      </w:r>
      <w:r>
        <w:rPr>
          <w:b/>
          <w:bCs/>
          <w:i w:val="0"/>
          <w:iCs w:val="0"/>
          <w:color w:val="000000" w:themeColor="text1"/>
          <w:sz w:val="20"/>
          <w:szCs w:val="20"/>
        </w:rPr>
        <w:fldChar w:fldCharType="begin"/>
      </w:r>
      <w:r>
        <w:rPr>
          <w:b/>
          <w:bCs/>
          <w:i w:val="0"/>
          <w:iCs w:val="0"/>
          <w:color w:val="000000" w:themeColor="text1"/>
          <w:sz w:val="20"/>
          <w:szCs w:val="20"/>
        </w:rPr>
        <w:instrText xml:space="preserve"> SEQ Tabel_8. \* ARABIC </w:instrText>
      </w:r>
      <w:r>
        <w:rPr>
          <w:b/>
          <w:bCs/>
          <w:i w:val="0"/>
          <w:iCs w:val="0"/>
          <w:color w:val="000000" w:themeColor="text1"/>
          <w:sz w:val="20"/>
          <w:szCs w:val="20"/>
        </w:rPr>
        <w:fldChar w:fldCharType="separate"/>
      </w:r>
      <w:r>
        <w:rPr>
          <w:b/>
          <w:bCs/>
          <w:i w:val="0"/>
          <w:iCs w:val="0"/>
          <w:noProof/>
          <w:color w:val="000000" w:themeColor="text1"/>
          <w:sz w:val="20"/>
          <w:szCs w:val="20"/>
        </w:rPr>
        <w:t>1</w:t>
      </w:r>
      <w:r>
        <w:rPr>
          <w:b/>
          <w:bCs/>
          <w:i w:val="0"/>
          <w:iCs w:val="0"/>
          <w:color w:val="000000" w:themeColor="text1"/>
          <w:sz w:val="20"/>
          <w:szCs w:val="20"/>
        </w:rPr>
        <w:fldChar w:fldCharType="end"/>
      </w:r>
      <w:r>
        <w:rPr>
          <w:b/>
          <w:bCs/>
          <w:i w:val="0"/>
          <w:iCs w:val="0"/>
          <w:color w:val="000000" w:themeColor="text1"/>
          <w:sz w:val="20"/>
          <w:szCs w:val="20"/>
        </w:rPr>
        <w:tab/>
      </w:r>
      <w:r>
        <w:rPr>
          <w:b/>
          <w:bCs/>
          <w:i w:val="0"/>
          <w:iCs w:val="0"/>
          <w:color w:val="000000" w:themeColor="text1"/>
          <w:sz w:val="20"/>
          <w:szCs w:val="20"/>
          <w:lang w:val="en-US"/>
        </w:rPr>
        <w:t>Jum</w:t>
      </w:r>
      <w:r>
        <w:rPr>
          <w:rFonts w:cs="Calibri,Bold"/>
          <w:b/>
          <w:bCs/>
          <w:i w:val="0"/>
          <w:iCs w:val="0"/>
          <w:color w:val="000000" w:themeColor="text1"/>
          <w:sz w:val="20"/>
          <w:szCs w:val="20"/>
        </w:rPr>
        <w:t>lah Presentase Pegawai Negeri Sipil Daerah Menurut Jabatan dan Jenis Kelamin di Lingkungan Pemerintah Provinsi Kalimantan Tengah,</w:t>
      </w:r>
      <w:r>
        <w:rPr>
          <w:rFonts w:cstheme="minorHAnsi"/>
          <w:b/>
          <w:bCs/>
          <w:i w:val="0"/>
          <w:iCs w:val="0"/>
          <w:color w:val="000000" w:themeColor="text1"/>
          <w:sz w:val="20"/>
          <w:szCs w:val="20"/>
        </w:rPr>
        <w:t xml:space="preserve"> Desember 2021</w:t>
      </w:r>
      <w:bookmarkEnd w:id="135"/>
    </w:p>
    <w:tbl>
      <w:tblPr>
        <w:tblW w:w="6047" w:type="dxa"/>
        <w:tblInd w:w="392" w:type="dxa"/>
        <w:tblLook w:val="04A0" w:firstRow="1" w:lastRow="0" w:firstColumn="1" w:lastColumn="0" w:noHBand="0" w:noVBand="1"/>
      </w:tblPr>
      <w:tblGrid>
        <w:gridCol w:w="1084"/>
        <w:gridCol w:w="871"/>
        <w:gridCol w:w="1033"/>
        <w:gridCol w:w="996"/>
        <w:gridCol w:w="1084"/>
        <w:gridCol w:w="979"/>
      </w:tblGrid>
      <w:tr>
        <w:trPr>
          <w:trHeight w:val="316"/>
        </w:trPr>
        <w:tc>
          <w:tcPr>
            <w:tcW w:w="1084" w:type="dxa"/>
            <w:vMerge w:val="restart"/>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Jabatan</w:t>
            </w:r>
          </w:p>
        </w:tc>
        <w:tc>
          <w:tcPr>
            <w:tcW w:w="1904" w:type="dxa"/>
            <w:gridSpan w:val="2"/>
            <w:tcBorders>
              <w:top w:val="single" w:sz="4" w:space="0" w:color="auto"/>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Laki-laki</w:t>
            </w:r>
          </w:p>
        </w:tc>
        <w:tc>
          <w:tcPr>
            <w:tcW w:w="2080" w:type="dxa"/>
            <w:gridSpan w:val="2"/>
            <w:tcBorders>
              <w:top w:val="single" w:sz="4" w:space="0" w:color="auto"/>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Perempuan</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Total</w:t>
            </w:r>
          </w:p>
        </w:tc>
      </w:tr>
      <w:tr>
        <w:trPr>
          <w:trHeight w:val="316"/>
        </w:trPr>
        <w:tc>
          <w:tcPr>
            <w:tcW w:w="1084" w:type="dxa"/>
            <w:vMerge/>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pPr>
              <w:spacing w:after="0"/>
              <w:rPr>
                <w:rFonts w:ascii="Calibri" w:hAnsi="Calibri" w:cs="Calibri"/>
                <w:b/>
                <w:bCs/>
                <w:color w:val="FFFFFF" w:themeColor="background1"/>
                <w:sz w:val="18"/>
                <w:szCs w:val="18"/>
              </w:rPr>
            </w:pPr>
          </w:p>
        </w:tc>
        <w:tc>
          <w:tcPr>
            <w:tcW w:w="871"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Jumlah</w:t>
            </w:r>
          </w:p>
        </w:tc>
        <w:tc>
          <w:tcPr>
            <w:tcW w:w="1033"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w:t>
            </w:r>
          </w:p>
        </w:tc>
        <w:tc>
          <w:tcPr>
            <w:tcW w:w="996"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Jumlah</w:t>
            </w:r>
          </w:p>
        </w:tc>
        <w:tc>
          <w:tcPr>
            <w:tcW w:w="1083"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w:t>
            </w:r>
          </w:p>
        </w:tc>
        <w:tc>
          <w:tcPr>
            <w:tcW w:w="979" w:type="dxa"/>
            <w:vMerge/>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pPr>
              <w:spacing w:after="0"/>
              <w:rPr>
                <w:rFonts w:ascii="Calibri" w:hAnsi="Calibri" w:cs="Calibri"/>
                <w:b/>
                <w:bCs/>
                <w:color w:val="FFFFFF" w:themeColor="background1"/>
                <w:sz w:val="18"/>
                <w:szCs w:val="18"/>
              </w:rPr>
            </w:pPr>
          </w:p>
        </w:tc>
      </w:tr>
      <w:tr>
        <w:trPr>
          <w:trHeight w:val="316"/>
        </w:trPr>
        <w:tc>
          <w:tcPr>
            <w:tcW w:w="1084" w:type="dxa"/>
            <w:tcBorders>
              <w:top w:val="nil"/>
              <w:left w:val="single" w:sz="4" w:space="0" w:color="auto"/>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color w:val="FFFFFF" w:themeColor="background1"/>
                <w:sz w:val="18"/>
                <w:szCs w:val="18"/>
              </w:rPr>
            </w:pPr>
            <w:r>
              <w:rPr>
                <w:rFonts w:ascii="Calibri" w:hAnsi="Calibri" w:cs="Calibri"/>
                <w:color w:val="FFFFFF" w:themeColor="background1"/>
                <w:sz w:val="18"/>
                <w:szCs w:val="18"/>
              </w:rPr>
              <w:t>(1)</w:t>
            </w:r>
          </w:p>
        </w:tc>
        <w:tc>
          <w:tcPr>
            <w:tcW w:w="871"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color w:val="FFFFFF" w:themeColor="background1"/>
                <w:sz w:val="18"/>
                <w:szCs w:val="18"/>
              </w:rPr>
            </w:pPr>
            <w:r>
              <w:rPr>
                <w:rFonts w:ascii="Calibri" w:hAnsi="Calibri" w:cs="Calibri"/>
                <w:color w:val="FFFFFF" w:themeColor="background1"/>
                <w:sz w:val="18"/>
                <w:szCs w:val="18"/>
              </w:rPr>
              <w:t>(2)</w:t>
            </w:r>
          </w:p>
        </w:tc>
        <w:tc>
          <w:tcPr>
            <w:tcW w:w="1033"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color w:val="FFFFFF" w:themeColor="background1"/>
                <w:sz w:val="18"/>
                <w:szCs w:val="18"/>
              </w:rPr>
            </w:pPr>
            <w:r>
              <w:rPr>
                <w:rFonts w:ascii="Calibri" w:hAnsi="Calibri" w:cs="Calibri"/>
                <w:color w:val="FFFFFF" w:themeColor="background1"/>
                <w:sz w:val="18"/>
                <w:szCs w:val="18"/>
              </w:rPr>
              <w:t>(3)</w:t>
            </w:r>
          </w:p>
        </w:tc>
        <w:tc>
          <w:tcPr>
            <w:tcW w:w="996"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color w:val="FFFFFF" w:themeColor="background1"/>
                <w:sz w:val="18"/>
                <w:szCs w:val="18"/>
              </w:rPr>
            </w:pPr>
            <w:r>
              <w:rPr>
                <w:rFonts w:ascii="Calibri" w:hAnsi="Calibri" w:cs="Calibri"/>
                <w:color w:val="FFFFFF" w:themeColor="background1"/>
                <w:sz w:val="18"/>
                <w:szCs w:val="18"/>
              </w:rPr>
              <w:t>(4)</w:t>
            </w:r>
          </w:p>
        </w:tc>
        <w:tc>
          <w:tcPr>
            <w:tcW w:w="1083"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color w:val="FFFFFF" w:themeColor="background1"/>
                <w:sz w:val="18"/>
                <w:szCs w:val="18"/>
              </w:rPr>
            </w:pPr>
            <w:r>
              <w:rPr>
                <w:rFonts w:ascii="Calibri" w:hAnsi="Calibri" w:cs="Calibri"/>
                <w:color w:val="FFFFFF" w:themeColor="background1"/>
                <w:sz w:val="18"/>
                <w:szCs w:val="18"/>
              </w:rPr>
              <w:t>(5)</w:t>
            </w:r>
          </w:p>
        </w:tc>
        <w:tc>
          <w:tcPr>
            <w:tcW w:w="979" w:type="dxa"/>
            <w:tcBorders>
              <w:top w:val="nil"/>
              <w:left w:val="nil"/>
              <w:bottom w:val="single" w:sz="4" w:space="0" w:color="auto"/>
              <w:right w:val="single" w:sz="4" w:space="0" w:color="auto"/>
            </w:tcBorders>
            <w:shd w:val="clear" w:color="auto" w:fill="403152" w:themeFill="accent4" w:themeFillShade="80"/>
            <w:vAlign w:val="center"/>
            <w:hideMark/>
          </w:tcPr>
          <w:p>
            <w:pPr>
              <w:spacing w:after="0"/>
              <w:jc w:val="center"/>
              <w:rPr>
                <w:rFonts w:ascii="Calibri" w:hAnsi="Calibri" w:cs="Calibri"/>
                <w:color w:val="FFFFFF" w:themeColor="background1"/>
                <w:sz w:val="18"/>
                <w:szCs w:val="18"/>
              </w:rPr>
            </w:pPr>
            <w:r>
              <w:rPr>
                <w:rFonts w:ascii="Calibri" w:hAnsi="Calibri" w:cs="Calibri"/>
                <w:color w:val="FFFFFF" w:themeColor="background1"/>
                <w:sz w:val="18"/>
                <w:szCs w:val="18"/>
              </w:rPr>
              <w:t>(6)</w:t>
            </w:r>
          </w:p>
        </w:tc>
      </w:tr>
      <w:tr>
        <w:trPr>
          <w:trHeight w:val="512"/>
        </w:trPr>
        <w:tc>
          <w:tcPr>
            <w:tcW w:w="1084"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pPr>
              <w:spacing w:after="0"/>
              <w:rPr>
                <w:rFonts w:ascii="Calibri" w:hAnsi="Calibri" w:cs="Calibri"/>
                <w:color w:val="000000"/>
                <w:sz w:val="18"/>
                <w:szCs w:val="18"/>
              </w:rPr>
            </w:pPr>
            <w:r>
              <w:rPr>
                <w:rFonts w:ascii="Calibri" w:hAnsi="Calibri" w:cs="Calibri"/>
                <w:color w:val="000000"/>
                <w:sz w:val="18"/>
                <w:szCs w:val="18"/>
              </w:rPr>
              <w:t>Fungsional Tertentu</w:t>
            </w:r>
          </w:p>
        </w:tc>
        <w:tc>
          <w:tcPr>
            <w:tcW w:w="871"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22 179</w:t>
            </w:r>
          </w:p>
        </w:tc>
        <w:tc>
          <w:tcPr>
            <w:tcW w:w="1033" w:type="dxa"/>
            <w:tcBorders>
              <w:top w:val="nil"/>
              <w:left w:val="nil"/>
              <w:bottom w:val="single" w:sz="4" w:space="0" w:color="auto"/>
              <w:right w:val="single" w:sz="4" w:space="0" w:color="auto"/>
            </w:tcBorders>
            <w:shd w:val="clear" w:color="auto" w:fill="C4BC96" w:themeFill="background2" w:themeFillShade="BF"/>
            <w:noWrap/>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43,67</w:t>
            </w:r>
          </w:p>
        </w:tc>
        <w:tc>
          <w:tcPr>
            <w:tcW w:w="996"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28 609</w:t>
            </w:r>
          </w:p>
        </w:tc>
        <w:tc>
          <w:tcPr>
            <w:tcW w:w="1083"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56,33</w:t>
            </w:r>
          </w:p>
        </w:tc>
        <w:tc>
          <w:tcPr>
            <w:tcW w:w="979"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50 788</w:t>
            </w:r>
          </w:p>
        </w:tc>
      </w:tr>
      <w:tr>
        <w:trPr>
          <w:trHeight w:val="316"/>
        </w:trPr>
        <w:tc>
          <w:tcPr>
            <w:tcW w:w="1084"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pPr>
              <w:spacing w:after="0"/>
              <w:rPr>
                <w:rFonts w:ascii="Calibri" w:hAnsi="Calibri" w:cs="Calibri"/>
                <w:color w:val="000000"/>
                <w:sz w:val="18"/>
                <w:szCs w:val="18"/>
              </w:rPr>
            </w:pPr>
            <w:r>
              <w:rPr>
                <w:rFonts w:ascii="Calibri" w:hAnsi="Calibri" w:cs="Calibri"/>
                <w:color w:val="000000"/>
                <w:sz w:val="18"/>
                <w:szCs w:val="18"/>
              </w:rPr>
              <w:t>Struktural</w:t>
            </w:r>
          </w:p>
        </w:tc>
        <w:tc>
          <w:tcPr>
            <w:tcW w:w="871"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5 532</w:t>
            </w:r>
          </w:p>
        </w:tc>
        <w:tc>
          <w:tcPr>
            <w:tcW w:w="1033" w:type="dxa"/>
            <w:tcBorders>
              <w:top w:val="nil"/>
              <w:left w:val="nil"/>
              <w:bottom w:val="single" w:sz="4" w:space="0" w:color="auto"/>
              <w:right w:val="single" w:sz="4" w:space="0" w:color="auto"/>
            </w:tcBorders>
            <w:shd w:val="clear" w:color="auto" w:fill="C4BC96" w:themeFill="background2" w:themeFillShade="BF"/>
            <w:noWrap/>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65,11</w:t>
            </w:r>
          </w:p>
        </w:tc>
        <w:tc>
          <w:tcPr>
            <w:tcW w:w="996"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2 965</w:t>
            </w:r>
          </w:p>
        </w:tc>
        <w:tc>
          <w:tcPr>
            <w:tcW w:w="1083"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34,89</w:t>
            </w:r>
          </w:p>
        </w:tc>
        <w:tc>
          <w:tcPr>
            <w:tcW w:w="979"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8 497</w:t>
            </w:r>
          </w:p>
        </w:tc>
      </w:tr>
      <w:tr>
        <w:trPr>
          <w:trHeight w:val="316"/>
        </w:trPr>
        <w:tc>
          <w:tcPr>
            <w:tcW w:w="1084" w:type="dxa"/>
            <w:tcBorders>
              <w:top w:val="nil"/>
              <w:left w:val="single" w:sz="4" w:space="0" w:color="auto"/>
              <w:bottom w:val="single" w:sz="4" w:space="0" w:color="auto"/>
              <w:right w:val="single" w:sz="4" w:space="0" w:color="auto"/>
            </w:tcBorders>
            <w:shd w:val="clear" w:color="000000" w:fill="FFFFFF"/>
            <w:vAlign w:val="center"/>
            <w:hideMark/>
          </w:tcPr>
          <w:p>
            <w:pPr>
              <w:spacing w:after="0"/>
              <w:rPr>
                <w:rFonts w:ascii="Calibri" w:hAnsi="Calibri" w:cs="Calibri"/>
                <w:color w:val="000000"/>
                <w:sz w:val="18"/>
                <w:szCs w:val="18"/>
              </w:rPr>
            </w:pPr>
            <w:r>
              <w:rPr>
                <w:rFonts w:ascii="Calibri" w:hAnsi="Calibri" w:cs="Calibri"/>
                <w:color w:val="000000"/>
                <w:sz w:val="18"/>
                <w:szCs w:val="18"/>
              </w:rPr>
              <w:t xml:space="preserve">  Eselon I</w:t>
            </w:r>
          </w:p>
        </w:tc>
        <w:tc>
          <w:tcPr>
            <w:tcW w:w="871"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w:t>
            </w:r>
          </w:p>
        </w:tc>
        <w:tc>
          <w:tcPr>
            <w:tcW w:w="1033" w:type="dxa"/>
            <w:tcBorders>
              <w:top w:val="nil"/>
              <w:left w:val="nil"/>
              <w:bottom w:val="single" w:sz="4" w:space="0" w:color="auto"/>
              <w:right w:val="single" w:sz="4" w:space="0" w:color="auto"/>
            </w:tcBorders>
            <w:shd w:val="clear" w:color="auto" w:fill="auto"/>
            <w:noWrap/>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w:t>
            </w:r>
          </w:p>
        </w:tc>
        <w:tc>
          <w:tcPr>
            <w:tcW w:w="996"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w:t>
            </w:r>
          </w:p>
        </w:tc>
        <w:tc>
          <w:tcPr>
            <w:tcW w:w="1083"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w:t>
            </w:r>
          </w:p>
        </w:tc>
        <w:tc>
          <w:tcPr>
            <w:tcW w:w="979"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w:t>
            </w:r>
          </w:p>
        </w:tc>
      </w:tr>
      <w:tr>
        <w:trPr>
          <w:trHeight w:val="316"/>
        </w:trPr>
        <w:tc>
          <w:tcPr>
            <w:tcW w:w="1084" w:type="dxa"/>
            <w:tcBorders>
              <w:top w:val="nil"/>
              <w:left w:val="single" w:sz="4" w:space="0" w:color="auto"/>
              <w:bottom w:val="single" w:sz="4" w:space="0" w:color="auto"/>
              <w:right w:val="single" w:sz="4" w:space="0" w:color="auto"/>
            </w:tcBorders>
            <w:shd w:val="clear" w:color="000000" w:fill="FFFFFF"/>
            <w:vAlign w:val="center"/>
            <w:hideMark/>
          </w:tcPr>
          <w:p>
            <w:pPr>
              <w:spacing w:after="0"/>
              <w:rPr>
                <w:rFonts w:ascii="Calibri" w:hAnsi="Calibri" w:cs="Calibri"/>
                <w:color w:val="000000"/>
                <w:sz w:val="18"/>
                <w:szCs w:val="18"/>
              </w:rPr>
            </w:pPr>
            <w:r>
              <w:rPr>
                <w:rFonts w:ascii="Calibri" w:hAnsi="Calibri" w:cs="Calibri"/>
                <w:color w:val="000000"/>
                <w:sz w:val="18"/>
                <w:szCs w:val="18"/>
              </w:rPr>
              <w:t xml:space="preserve">  Eselon II</w:t>
            </w:r>
          </w:p>
        </w:tc>
        <w:tc>
          <w:tcPr>
            <w:tcW w:w="871"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365</w:t>
            </w:r>
          </w:p>
        </w:tc>
        <w:tc>
          <w:tcPr>
            <w:tcW w:w="1033" w:type="dxa"/>
            <w:tcBorders>
              <w:top w:val="nil"/>
              <w:left w:val="nil"/>
              <w:bottom w:val="single" w:sz="4" w:space="0" w:color="auto"/>
              <w:right w:val="single" w:sz="4" w:space="0" w:color="auto"/>
            </w:tcBorders>
            <w:shd w:val="clear" w:color="auto" w:fill="auto"/>
            <w:noWrap/>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86,49</w:t>
            </w:r>
          </w:p>
        </w:tc>
        <w:tc>
          <w:tcPr>
            <w:tcW w:w="996"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57</w:t>
            </w:r>
          </w:p>
        </w:tc>
        <w:tc>
          <w:tcPr>
            <w:tcW w:w="1083"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13,51</w:t>
            </w:r>
          </w:p>
        </w:tc>
        <w:tc>
          <w:tcPr>
            <w:tcW w:w="979"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422</w:t>
            </w:r>
          </w:p>
        </w:tc>
      </w:tr>
      <w:tr>
        <w:trPr>
          <w:trHeight w:val="316"/>
        </w:trPr>
        <w:tc>
          <w:tcPr>
            <w:tcW w:w="1084" w:type="dxa"/>
            <w:tcBorders>
              <w:top w:val="nil"/>
              <w:left w:val="single" w:sz="4" w:space="0" w:color="auto"/>
              <w:bottom w:val="single" w:sz="4" w:space="0" w:color="auto"/>
              <w:right w:val="single" w:sz="4" w:space="0" w:color="auto"/>
            </w:tcBorders>
            <w:shd w:val="clear" w:color="000000" w:fill="FFFFFF"/>
            <w:vAlign w:val="center"/>
            <w:hideMark/>
          </w:tcPr>
          <w:p>
            <w:pPr>
              <w:spacing w:after="0"/>
              <w:rPr>
                <w:rFonts w:ascii="Calibri" w:hAnsi="Calibri" w:cs="Calibri"/>
                <w:color w:val="000000"/>
                <w:sz w:val="18"/>
                <w:szCs w:val="18"/>
              </w:rPr>
            </w:pPr>
            <w:r>
              <w:rPr>
                <w:rFonts w:ascii="Calibri" w:hAnsi="Calibri" w:cs="Calibri"/>
                <w:color w:val="000000"/>
                <w:sz w:val="18"/>
                <w:szCs w:val="18"/>
              </w:rPr>
              <w:t xml:space="preserve">  Eselon III</w:t>
            </w:r>
          </w:p>
        </w:tc>
        <w:tc>
          <w:tcPr>
            <w:tcW w:w="871"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1 630</w:t>
            </w:r>
          </w:p>
        </w:tc>
        <w:tc>
          <w:tcPr>
            <w:tcW w:w="1033" w:type="dxa"/>
            <w:tcBorders>
              <w:top w:val="nil"/>
              <w:left w:val="nil"/>
              <w:bottom w:val="single" w:sz="4" w:space="0" w:color="auto"/>
              <w:right w:val="single" w:sz="4" w:space="0" w:color="auto"/>
            </w:tcBorders>
            <w:shd w:val="clear" w:color="auto" w:fill="auto"/>
            <w:noWrap/>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72,19</w:t>
            </w:r>
          </w:p>
        </w:tc>
        <w:tc>
          <w:tcPr>
            <w:tcW w:w="996"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628</w:t>
            </w:r>
          </w:p>
        </w:tc>
        <w:tc>
          <w:tcPr>
            <w:tcW w:w="1083"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27,81</w:t>
            </w:r>
          </w:p>
        </w:tc>
        <w:tc>
          <w:tcPr>
            <w:tcW w:w="979"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2 258</w:t>
            </w:r>
          </w:p>
        </w:tc>
      </w:tr>
      <w:tr>
        <w:trPr>
          <w:trHeight w:val="316"/>
        </w:trPr>
        <w:tc>
          <w:tcPr>
            <w:tcW w:w="1084" w:type="dxa"/>
            <w:tcBorders>
              <w:top w:val="nil"/>
              <w:left w:val="single" w:sz="4" w:space="0" w:color="auto"/>
              <w:bottom w:val="single" w:sz="4" w:space="0" w:color="auto"/>
              <w:right w:val="single" w:sz="4" w:space="0" w:color="auto"/>
            </w:tcBorders>
            <w:shd w:val="clear" w:color="000000" w:fill="FFFFFF"/>
            <w:vAlign w:val="center"/>
            <w:hideMark/>
          </w:tcPr>
          <w:p>
            <w:pPr>
              <w:spacing w:after="0"/>
              <w:rPr>
                <w:rFonts w:ascii="Calibri" w:hAnsi="Calibri" w:cs="Calibri"/>
                <w:color w:val="000000"/>
                <w:sz w:val="18"/>
                <w:szCs w:val="18"/>
              </w:rPr>
            </w:pPr>
            <w:r>
              <w:rPr>
                <w:rFonts w:ascii="Calibri" w:hAnsi="Calibri" w:cs="Calibri"/>
                <w:color w:val="000000"/>
                <w:sz w:val="18"/>
                <w:szCs w:val="18"/>
              </w:rPr>
              <w:t xml:space="preserve">  Eselon IV</w:t>
            </w:r>
          </w:p>
        </w:tc>
        <w:tc>
          <w:tcPr>
            <w:tcW w:w="871"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3 529</w:t>
            </w:r>
          </w:p>
        </w:tc>
        <w:tc>
          <w:tcPr>
            <w:tcW w:w="1033" w:type="dxa"/>
            <w:tcBorders>
              <w:top w:val="nil"/>
              <w:left w:val="nil"/>
              <w:bottom w:val="single" w:sz="4" w:space="0" w:color="auto"/>
              <w:right w:val="single" w:sz="4" w:space="0" w:color="auto"/>
            </w:tcBorders>
            <w:shd w:val="clear" w:color="auto" w:fill="auto"/>
            <w:noWrap/>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60,78</w:t>
            </w:r>
          </w:p>
        </w:tc>
        <w:tc>
          <w:tcPr>
            <w:tcW w:w="996"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2 277</w:t>
            </w:r>
          </w:p>
        </w:tc>
        <w:tc>
          <w:tcPr>
            <w:tcW w:w="1083"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39,22</w:t>
            </w:r>
          </w:p>
        </w:tc>
        <w:tc>
          <w:tcPr>
            <w:tcW w:w="979"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5 806</w:t>
            </w:r>
          </w:p>
        </w:tc>
      </w:tr>
      <w:tr>
        <w:trPr>
          <w:trHeight w:val="316"/>
        </w:trPr>
        <w:tc>
          <w:tcPr>
            <w:tcW w:w="1084" w:type="dxa"/>
            <w:tcBorders>
              <w:top w:val="nil"/>
              <w:left w:val="single" w:sz="4" w:space="0" w:color="auto"/>
              <w:bottom w:val="single" w:sz="4" w:space="0" w:color="auto"/>
              <w:right w:val="single" w:sz="4" w:space="0" w:color="auto"/>
            </w:tcBorders>
            <w:shd w:val="clear" w:color="000000" w:fill="FFFFFF"/>
            <w:vAlign w:val="center"/>
            <w:hideMark/>
          </w:tcPr>
          <w:p>
            <w:pPr>
              <w:spacing w:after="0"/>
              <w:rPr>
                <w:rFonts w:ascii="Calibri" w:hAnsi="Calibri" w:cs="Calibri"/>
                <w:color w:val="000000"/>
                <w:sz w:val="18"/>
                <w:szCs w:val="18"/>
              </w:rPr>
            </w:pPr>
            <w:r>
              <w:rPr>
                <w:rFonts w:ascii="Calibri" w:hAnsi="Calibri" w:cs="Calibri"/>
                <w:color w:val="000000"/>
                <w:sz w:val="18"/>
                <w:szCs w:val="18"/>
              </w:rPr>
              <w:t xml:space="preserve">  Eselon  V</w:t>
            </w:r>
          </w:p>
        </w:tc>
        <w:tc>
          <w:tcPr>
            <w:tcW w:w="871"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8</w:t>
            </w:r>
          </w:p>
        </w:tc>
        <w:tc>
          <w:tcPr>
            <w:tcW w:w="1033" w:type="dxa"/>
            <w:tcBorders>
              <w:top w:val="nil"/>
              <w:left w:val="nil"/>
              <w:bottom w:val="single" w:sz="4" w:space="0" w:color="auto"/>
              <w:right w:val="single" w:sz="4" w:space="0" w:color="auto"/>
            </w:tcBorders>
            <w:shd w:val="clear" w:color="auto" w:fill="auto"/>
            <w:noWrap/>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72,73</w:t>
            </w:r>
          </w:p>
        </w:tc>
        <w:tc>
          <w:tcPr>
            <w:tcW w:w="996"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3</w:t>
            </w:r>
          </w:p>
        </w:tc>
        <w:tc>
          <w:tcPr>
            <w:tcW w:w="1083"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27,27</w:t>
            </w:r>
          </w:p>
        </w:tc>
        <w:tc>
          <w:tcPr>
            <w:tcW w:w="979" w:type="dxa"/>
            <w:tcBorders>
              <w:top w:val="nil"/>
              <w:left w:val="nil"/>
              <w:bottom w:val="single" w:sz="4" w:space="0" w:color="auto"/>
              <w:right w:val="single" w:sz="4" w:space="0" w:color="auto"/>
            </w:tcBorders>
            <w:shd w:val="clear" w:color="000000" w:fill="FFFFFF"/>
            <w:vAlign w:val="center"/>
            <w:hideMark/>
          </w:tcPr>
          <w:p>
            <w:pPr>
              <w:spacing w:after="0"/>
              <w:jc w:val="right"/>
              <w:rPr>
                <w:rFonts w:ascii="Calibri" w:hAnsi="Calibri" w:cs="Calibri"/>
                <w:color w:val="000000"/>
                <w:sz w:val="18"/>
                <w:szCs w:val="18"/>
              </w:rPr>
            </w:pPr>
            <w:r>
              <w:rPr>
                <w:rFonts w:ascii="Calibri" w:hAnsi="Calibri" w:cs="Calibri"/>
                <w:color w:val="000000"/>
                <w:sz w:val="18"/>
                <w:szCs w:val="18"/>
              </w:rPr>
              <w:t>11</w:t>
            </w:r>
          </w:p>
        </w:tc>
      </w:tr>
      <w:tr>
        <w:trPr>
          <w:trHeight w:val="457"/>
        </w:trPr>
        <w:tc>
          <w:tcPr>
            <w:tcW w:w="1084"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pPr>
              <w:spacing w:after="0"/>
              <w:jc w:val="center"/>
              <w:rPr>
                <w:rFonts w:ascii="Calibri" w:hAnsi="Calibri" w:cs="Calibri"/>
                <w:b/>
                <w:bCs/>
                <w:color w:val="000000"/>
                <w:sz w:val="18"/>
                <w:szCs w:val="18"/>
              </w:rPr>
            </w:pPr>
            <w:r>
              <w:rPr>
                <w:rFonts w:ascii="Calibri" w:hAnsi="Calibri" w:cs="Calibri"/>
                <w:b/>
                <w:bCs/>
                <w:color w:val="000000"/>
                <w:sz w:val="18"/>
                <w:szCs w:val="18"/>
              </w:rPr>
              <w:t>Total</w:t>
            </w:r>
          </w:p>
        </w:tc>
        <w:tc>
          <w:tcPr>
            <w:tcW w:w="871"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b/>
                <w:bCs/>
                <w:color w:val="000000"/>
                <w:sz w:val="18"/>
                <w:szCs w:val="18"/>
              </w:rPr>
            </w:pPr>
            <w:r>
              <w:rPr>
                <w:rFonts w:ascii="Calibri" w:hAnsi="Calibri" w:cs="Calibri"/>
                <w:b/>
                <w:bCs/>
                <w:color w:val="000000"/>
                <w:sz w:val="18"/>
                <w:szCs w:val="18"/>
              </w:rPr>
              <w:t>27 711</w:t>
            </w:r>
          </w:p>
        </w:tc>
        <w:tc>
          <w:tcPr>
            <w:tcW w:w="1033"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b/>
                <w:bCs/>
                <w:color w:val="000000"/>
                <w:sz w:val="18"/>
                <w:szCs w:val="18"/>
              </w:rPr>
            </w:pPr>
          </w:p>
        </w:tc>
        <w:tc>
          <w:tcPr>
            <w:tcW w:w="996"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b/>
                <w:bCs/>
                <w:color w:val="000000"/>
                <w:sz w:val="18"/>
                <w:szCs w:val="18"/>
              </w:rPr>
            </w:pPr>
            <w:r>
              <w:rPr>
                <w:rFonts w:ascii="Calibri" w:hAnsi="Calibri" w:cs="Calibri"/>
                <w:b/>
                <w:bCs/>
                <w:color w:val="000000"/>
                <w:sz w:val="18"/>
                <w:szCs w:val="18"/>
              </w:rPr>
              <w:t>31 574</w:t>
            </w:r>
          </w:p>
        </w:tc>
        <w:tc>
          <w:tcPr>
            <w:tcW w:w="1083"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b/>
                <w:bCs/>
                <w:color w:val="000000"/>
                <w:sz w:val="18"/>
                <w:szCs w:val="18"/>
              </w:rPr>
            </w:pPr>
          </w:p>
        </w:tc>
        <w:tc>
          <w:tcPr>
            <w:tcW w:w="979" w:type="dxa"/>
            <w:tcBorders>
              <w:top w:val="nil"/>
              <w:left w:val="nil"/>
              <w:bottom w:val="single" w:sz="4" w:space="0" w:color="auto"/>
              <w:right w:val="single" w:sz="4" w:space="0" w:color="auto"/>
            </w:tcBorders>
            <w:shd w:val="clear" w:color="auto" w:fill="C4BC96" w:themeFill="background2" w:themeFillShade="BF"/>
            <w:vAlign w:val="center"/>
            <w:hideMark/>
          </w:tcPr>
          <w:p>
            <w:pPr>
              <w:spacing w:after="0"/>
              <w:jc w:val="right"/>
              <w:rPr>
                <w:rFonts w:ascii="Calibri" w:hAnsi="Calibri" w:cs="Calibri"/>
                <w:b/>
                <w:bCs/>
                <w:color w:val="000000"/>
                <w:sz w:val="18"/>
                <w:szCs w:val="18"/>
              </w:rPr>
            </w:pPr>
            <w:r>
              <w:rPr>
                <w:rFonts w:ascii="Calibri" w:hAnsi="Calibri" w:cs="Calibri"/>
                <w:b/>
                <w:bCs/>
                <w:color w:val="000000"/>
                <w:sz w:val="18"/>
                <w:szCs w:val="18"/>
              </w:rPr>
              <w:t>59 285</w:t>
            </w:r>
          </w:p>
        </w:tc>
      </w:tr>
    </w:tbl>
    <w:p>
      <w:pPr>
        <w:pStyle w:val="Caption"/>
        <w:spacing w:before="240" w:line="276" w:lineRule="auto"/>
        <w:ind w:left="426"/>
        <w:rPr>
          <w:rFonts w:cstheme="minorHAnsi"/>
          <w:color w:val="000000" w:themeColor="text1"/>
        </w:rPr>
      </w:pPr>
      <w:r>
        <w:rPr>
          <w:rFonts w:cstheme="minorHAnsi"/>
          <w:color w:val="000000" w:themeColor="text1"/>
        </w:rPr>
        <w:t>Sumber: Provinsi Kalimantan Tengah Dalam Angka 2021</w:t>
      </w:r>
    </w:p>
    <w:p>
      <w:pPr>
        <w:pStyle w:val="Heading2"/>
        <w:numPr>
          <w:ilvl w:val="0"/>
          <w:numId w:val="0"/>
        </w:numPr>
        <w:ind w:left="851" w:hanging="567"/>
        <w:rPr>
          <w:rFonts w:asciiTheme="minorHAnsi" w:hAnsiTheme="minorHAnsi" w:cstheme="minorHAnsi"/>
          <w:sz w:val="20"/>
          <w:szCs w:val="20"/>
          <w:lang w:val="en-US"/>
        </w:rPr>
      </w:pPr>
      <w:bookmarkStart w:id="136" w:name="_Toc118716013"/>
      <w:bookmarkStart w:id="137" w:name="_Toc117552842"/>
      <w:r>
        <w:rPr>
          <w:rFonts w:asciiTheme="minorHAnsi" w:hAnsiTheme="minorHAnsi" w:cstheme="minorHAnsi"/>
          <w:sz w:val="20"/>
          <w:szCs w:val="20"/>
          <w:lang w:val="en-US"/>
        </w:rPr>
        <w:t>8.3</w:t>
      </w:r>
      <w:r>
        <w:rPr>
          <w:rFonts w:asciiTheme="minorHAnsi" w:hAnsiTheme="minorHAnsi" w:cstheme="minorHAnsi"/>
          <w:sz w:val="20"/>
          <w:szCs w:val="20"/>
          <w:lang w:val="en-US"/>
        </w:rPr>
        <w:tab/>
        <w:t>Disparitas IDG</w:t>
      </w:r>
      <w:bookmarkEnd w:id="136"/>
    </w:p>
    <w:p>
      <w:pPr>
        <w:autoSpaceDE w:val="0"/>
        <w:autoSpaceDN w:val="0"/>
        <w:adjustRightInd w:val="0"/>
        <w:spacing w:line="360" w:lineRule="auto"/>
        <w:ind w:left="284" w:firstLine="567"/>
        <w:jc w:val="both"/>
        <w:rPr>
          <w:rFonts w:cstheme="minorHAnsi"/>
          <w:color w:val="000000" w:themeColor="text1"/>
          <w:sz w:val="20"/>
          <w:szCs w:val="20"/>
        </w:rPr>
      </w:pPr>
      <w:r>
        <w:rPr>
          <w:rFonts w:cstheme="minorHAnsi"/>
          <w:color w:val="000000" w:themeColor="text1"/>
          <w:sz w:val="20"/>
          <w:szCs w:val="20"/>
        </w:rPr>
        <w:t xml:space="preserve">Pembangunan nasional yang dilaksanakan tidak hanya bertujuan meraih pertumbuhan setinggi-tingginya, namun juga memerhatikan pemerataan antar wilayah. Hal ini sering disebut sebagai </w:t>
      </w:r>
      <w:r>
        <w:rPr>
          <w:rFonts w:cstheme="minorHAnsi"/>
          <w:i/>
          <w:iCs/>
          <w:color w:val="000000" w:themeColor="text1"/>
          <w:sz w:val="20"/>
          <w:szCs w:val="20"/>
        </w:rPr>
        <w:t>growth with equity</w:t>
      </w:r>
      <w:r>
        <w:rPr>
          <w:rFonts w:cstheme="minorHAnsi"/>
          <w:color w:val="000000" w:themeColor="text1"/>
          <w:sz w:val="20"/>
          <w:szCs w:val="20"/>
        </w:rPr>
        <w:t xml:space="preserve">, sebagaimana termasuk dalam Peraturan Presiden RI nomor 2 Tahun 2015 tentang Rencana Pembangunan Jangka Menengah Nasional 2020-2024. Dengan demikian, kajian-kajian maupun pengukuran yang berkaitan dengan pelaksanaan pembangunan diharapkan senantiasa menyajikan perbandingan antar wilayah, baik pada level provinsi, kabupaten/kota, </w:t>
      </w:r>
      <w:r>
        <w:rPr>
          <w:rFonts w:cstheme="minorHAnsi"/>
          <w:color w:val="000000" w:themeColor="text1"/>
          <w:sz w:val="20"/>
          <w:szCs w:val="20"/>
        </w:rPr>
        <w:lastRenderedPageBreak/>
        <w:t>kecamatan, maupun desa. Dengan demikian, apabila ditemukan adanya kesenjangan yang besar antar wilayah, maka pemerintah dapat dengan segera melakukan evaluasi dan perencanaan terhadap pelaksanaan pembangunan yang lebih tepat.</w:t>
      </w:r>
    </w:p>
    <w:p>
      <w:pPr>
        <w:ind w:left="1560" w:hanging="1276"/>
        <w:jc w:val="both"/>
        <w:rPr>
          <w:rFonts w:cstheme="minorHAnsi"/>
          <w:b/>
          <w:color w:val="000000"/>
          <w:sz w:val="20"/>
          <w:szCs w:val="20"/>
        </w:rPr>
      </w:pPr>
      <w:r>
        <w:rPr>
          <w:b/>
          <w:bCs/>
          <w:noProof/>
          <w:lang w:val="en-ID" w:eastAsia="en-ID"/>
        </w:rPr>
        <w:drawing>
          <wp:anchor distT="0" distB="0" distL="114300" distR="114300" simplePos="0" relativeHeight="251676672" behindDoc="0" locked="0" layoutInCell="1" allowOverlap="1">
            <wp:simplePos x="0" y="0"/>
            <wp:positionH relativeFrom="column">
              <wp:posOffset>193808</wp:posOffset>
            </wp:positionH>
            <wp:positionV relativeFrom="paragraph">
              <wp:posOffset>378273</wp:posOffset>
            </wp:positionV>
            <wp:extent cx="3787140" cy="1621331"/>
            <wp:effectExtent l="0" t="0" r="0" b="0"/>
            <wp:wrapNone/>
            <wp:docPr id="18" name="Chart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5AB56B-A437-5D9F-ADBE-C5CF66E10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Pr>
          <w:b/>
          <w:bCs/>
        </w:rPr>
        <w:t xml:space="preserve">Gambar 8. </w:t>
      </w:r>
      <w:r>
        <w:rPr>
          <w:b/>
          <w:bCs/>
        </w:rPr>
        <w:fldChar w:fldCharType="begin"/>
      </w:r>
      <w:r>
        <w:rPr>
          <w:b/>
          <w:bCs/>
        </w:rPr>
        <w:instrText xml:space="preserve"> SEQ Gambar_8. \* ARABIC </w:instrText>
      </w:r>
      <w:r>
        <w:rPr>
          <w:b/>
          <w:bCs/>
        </w:rPr>
        <w:fldChar w:fldCharType="separate"/>
      </w:r>
      <w:r>
        <w:rPr>
          <w:b/>
          <w:bCs/>
          <w:noProof/>
        </w:rPr>
        <w:t>6</w:t>
      </w:r>
      <w:r>
        <w:rPr>
          <w:b/>
          <w:bCs/>
          <w:noProof/>
        </w:rPr>
        <w:fldChar w:fldCharType="end"/>
      </w:r>
      <w:r>
        <w:tab/>
      </w:r>
      <w:r>
        <w:rPr>
          <w:rFonts w:cstheme="minorHAnsi"/>
          <w:b/>
          <w:color w:val="000000"/>
          <w:sz w:val="20"/>
          <w:szCs w:val="20"/>
        </w:rPr>
        <w:t>Pencapaian IDG Menurut Kabupaten/Kota di Kalimantan Tengah, 2021</w:t>
      </w:r>
      <w:bookmarkEnd w:id="137"/>
    </w:p>
    <w:p>
      <w:pPr>
        <w:pStyle w:val="Caption"/>
        <w:rPr>
          <w:lang w:val="en-US"/>
        </w:rPr>
      </w:pPr>
    </w:p>
    <w:p>
      <w:pPr>
        <w:rPr>
          <w:lang w:val="en-US"/>
        </w:rPr>
      </w:pPr>
    </w:p>
    <w:p>
      <w:pPr>
        <w:rPr>
          <w:lang w:val="en-US"/>
        </w:rPr>
      </w:pPr>
    </w:p>
    <w:p>
      <w:pPr>
        <w:rPr>
          <w:lang w:val="en-US"/>
        </w:rPr>
      </w:pPr>
    </w:p>
    <w:p>
      <w:pPr>
        <w:rPr>
          <w:lang w:val="en-US"/>
        </w:rPr>
      </w:pPr>
    </w:p>
    <w:p>
      <w:pPr>
        <w:autoSpaceDE w:val="0"/>
        <w:autoSpaceDN w:val="0"/>
        <w:adjustRightInd w:val="0"/>
        <w:spacing w:line="360" w:lineRule="auto"/>
        <w:ind w:left="284"/>
        <w:rPr>
          <w:rFonts w:cstheme="minorHAnsi"/>
          <w:i/>
          <w:iCs/>
          <w:color w:val="000000" w:themeColor="text1"/>
          <w:sz w:val="16"/>
          <w:szCs w:val="16"/>
        </w:rPr>
      </w:pPr>
      <w:r>
        <w:rPr>
          <w:rFonts w:cstheme="minorHAnsi"/>
          <w:i/>
          <w:iCs/>
          <w:color w:val="000000" w:themeColor="text1"/>
          <w:sz w:val="16"/>
          <w:szCs w:val="16"/>
        </w:rPr>
        <w:t>Sumber: KPPA-BPS, Pembangunan Manusia Berbasis Gender 2021</w:t>
      </w:r>
    </w:p>
    <w:p>
      <w:pPr>
        <w:autoSpaceDE w:val="0"/>
        <w:autoSpaceDN w:val="0"/>
        <w:adjustRightInd w:val="0"/>
        <w:spacing w:after="0" w:line="360" w:lineRule="auto"/>
        <w:ind w:left="284" w:right="283" w:firstLine="567"/>
        <w:jc w:val="both"/>
        <w:rPr>
          <w:rFonts w:cstheme="minorHAnsi"/>
          <w:color w:val="000000" w:themeColor="text1"/>
          <w:sz w:val="20"/>
          <w:szCs w:val="20"/>
        </w:rPr>
      </w:pPr>
      <w:r>
        <w:rPr>
          <w:rFonts w:cstheme="minorHAnsi"/>
          <w:color w:val="000000" w:themeColor="text1"/>
          <w:sz w:val="20"/>
          <w:szCs w:val="20"/>
        </w:rPr>
        <w:t xml:space="preserve">Namun hingga saat ini, apabila berbicara dikotomi pembangunan antara wilayah kabupaten/kota masih ditemukan adanya kesenjangan yang relatif cukup besar. Beberapa faktor yang menyebabkan ketimpangan pembangunan diwilayah kabupaten/kota adalah terkait dengan kondisi alam yang cukup berat dan kurang tersedianya infrastruktur yang memadai, terutama di daerah-daerah pedalaman, sehingga masih terdapat daerah-daerah yang terisolir (BPS, 2001). Ketertinggalan ini juga berdampak pada kesenjangan pemberdayaan gender antar wilayah kabupaten/kota, yang masih menjadi catatan pekerjaan rumah yang perlu mendapat perhatian khusus dari </w:t>
      </w:r>
      <w:r>
        <w:rPr>
          <w:rFonts w:cstheme="minorHAnsi"/>
          <w:color w:val="000000" w:themeColor="text1"/>
          <w:sz w:val="20"/>
          <w:szCs w:val="20"/>
        </w:rPr>
        <w:lastRenderedPageBreak/>
        <w:t>pemerintah provinsi maupun kabupaten/kota. Kesenjangan pemberdayaan gender antar wilayah kabupaten/kota di Kalimantan tengah dapat dilihat pada Gambar 10.6.</w:t>
      </w:r>
    </w:p>
    <w:p>
      <w:pPr>
        <w:autoSpaceDE w:val="0"/>
        <w:autoSpaceDN w:val="0"/>
        <w:adjustRightInd w:val="0"/>
        <w:spacing w:after="0" w:line="360" w:lineRule="auto"/>
        <w:ind w:left="284" w:right="283" w:firstLine="567"/>
        <w:jc w:val="both"/>
        <w:rPr>
          <w:rFonts w:cstheme="minorHAnsi"/>
          <w:b/>
          <w:bCs/>
          <w:color w:val="000000" w:themeColor="text1"/>
          <w:sz w:val="20"/>
          <w:szCs w:val="20"/>
        </w:rPr>
      </w:pPr>
    </w:p>
    <w:p>
      <w:pPr>
        <w:pStyle w:val="Heading3"/>
        <w:spacing w:line="360" w:lineRule="auto"/>
        <w:ind w:left="851" w:right="283" w:hanging="567"/>
        <w:rPr>
          <w:rFonts w:asciiTheme="minorHAnsi" w:hAnsiTheme="minorHAnsi" w:cstheme="minorHAnsi"/>
          <w:b/>
          <w:bCs/>
          <w:color w:val="000000" w:themeColor="text1"/>
          <w:sz w:val="20"/>
          <w:szCs w:val="20"/>
        </w:rPr>
      </w:pPr>
      <w:bookmarkStart w:id="138" w:name="_Toc118716014"/>
      <w:r>
        <w:rPr>
          <w:rFonts w:asciiTheme="minorHAnsi" w:hAnsiTheme="minorHAnsi" w:cstheme="minorHAnsi"/>
          <w:b/>
          <w:bCs/>
          <w:color w:val="000000" w:themeColor="text1"/>
          <w:sz w:val="20"/>
          <w:szCs w:val="20"/>
          <w:lang w:val="en-US"/>
        </w:rPr>
        <w:t>8.3.1</w:t>
      </w:r>
      <w:r>
        <w:rPr>
          <w:rFonts w:asciiTheme="minorHAnsi" w:hAnsiTheme="minorHAnsi" w:cstheme="minorHAnsi"/>
          <w:b/>
          <w:bCs/>
          <w:color w:val="000000" w:themeColor="text1"/>
          <w:sz w:val="20"/>
          <w:szCs w:val="20"/>
          <w:lang w:val="en-US"/>
        </w:rPr>
        <w:tab/>
      </w:r>
      <w:r>
        <w:rPr>
          <w:rFonts w:asciiTheme="minorHAnsi" w:hAnsiTheme="minorHAnsi" w:cstheme="minorHAnsi"/>
          <w:b/>
          <w:bCs/>
          <w:color w:val="000000" w:themeColor="text1"/>
          <w:sz w:val="20"/>
          <w:szCs w:val="20"/>
        </w:rPr>
        <w:t>Capaian IDG Kabupaten/Kota</w:t>
      </w:r>
      <w:bookmarkEnd w:id="138"/>
    </w:p>
    <w:p>
      <w:pPr>
        <w:spacing w:line="360" w:lineRule="auto"/>
        <w:ind w:left="284" w:right="283" w:firstLine="567"/>
        <w:jc w:val="both"/>
        <w:rPr>
          <w:rFonts w:cstheme="minorHAnsi"/>
          <w:color w:val="000000" w:themeColor="text1"/>
          <w:sz w:val="20"/>
          <w:szCs w:val="20"/>
        </w:rPr>
      </w:pPr>
      <w:r>
        <w:rPr>
          <w:rFonts w:cstheme="minorHAnsi"/>
          <w:color w:val="000000" w:themeColor="text1"/>
          <w:sz w:val="20"/>
          <w:szCs w:val="20"/>
        </w:rPr>
        <w:t>Pada level kabupaten/kota, sebagian besar kabupaten/kota di Kalimantan Tengah (6 dari 14 kabupaten/kota atau 42,86 persen) mengalami peningkatan nilai IDG pada tahun 2021 dibanding tahun 2020, sedangkan sisanya (8 kabupaten/kota atau 57,14 persen) mengalami penurunan capaian. Bila dibandingkan dengan nilai rata-rata provinsi, pada tahun 2021 hanya terdapat 4 kabupaten yang memiliki nilai IDG di atas rata-rata provinsi. Jumlah ini naik dibanding tahun 2020 yang hanya 3 kabupaten. Keempat kabupaten/kota dengan capaian IDG di atas rata-rata provinsi tahun 2021 adalah Kabupaten Barito Selatan, Barito Utara,  Gunung Mas, dan Barito Timur. Sementara 3 kabupaten dengan IDG terendah tahun 2021 adalah Kabupaten Kotawaringin Barat, Seruyan, dan Sukamara (Gambar 10.6.).</w:t>
      </w: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r>
        <w:rPr>
          <w:noProof/>
          <w:lang w:val="en-ID" w:eastAsia="en-ID"/>
        </w:rPr>
        <w:lastRenderedPageBreak/>
        <mc:AlternateContent>
          <mc:Choice Requires="wps">
            <w:drawing>
              <wp:anchor distT="0" distB="0" distL="114300" distR="114300" simplePos="0" relativeHeight="251763200" behindDoc="0" locked="0" layoutInCell="1" allowOverlap="1">
                <wp:simplePos x="0" y="0"/>
                <wp:positionH relativeFrom="page">
                  <wp:align>left</wp:align>
                </wp:positionH>
                <wp:positionV relativeFrom="paragraph">
                  <wp:posOffset>-906512</wp:posOffset>
                </wp:positionV>
                <wp:extent cx="5319716" cy="866899"/>
                <wp:effectExtent l="0" t="0" r="14605" b="28575"/>
                <wp:wrapNone/>
                <wp:docPr id="117" name="Rectangle 117"/>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D36E1" id="Rectangle 117" o:spid="_x0000_s1026" style="position:absolute;margin-left:0;margin-top:-71.4pt;width:418.9pt;height:68.25pt;z-index:2517632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" fillcolor="white [3212]" strokecolor="white [3212]" strokeweight="2pt">
                <w10:wrap anchorx="page"/>
              </v:rect>
            </w:pict>
          </mc:Fallback>
        </mc:AlternateContent>
      </w: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lang w:val="en-US"/>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r>
        <w:rPr>
          <w:noProof/>
          <w:lang w:val="en-ID" w:eastAsia="en-ID"/>
        </w:rPr>
        <mc:AlternateContent>
          <mc:Choice Requires="wps">
            <w:drawing>
              <wp:anchor distT="0" distB="0" distL="114300" distR="114300" simplePos="0" relativeHeight="251761152" behindDoc="0" locked="0" layoutInCell="1" allowOverlap="1">
                <wp:simplePos x="0" y="0"/>
                <wp:positionH relativeFrom="page">
                  <wp:align>right</wp:align>
                </wp:positionH>
                <wp:positionV relativeFrom="paragraph">
                  <wp:posOffset>336483</wp:posOffset>
                </wp:positionV>
                <wp:extent cx="5319716" cy="866899"/>
                <wp:effectExtent l="0" t="0" r="14605" b="28575"/>
                <wp:wrapNone/>
                <wp:docPr id="116" name="Rectangle 116"/>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F68B8" id="Rectangle 116" o:spid="_x0000_s1026" style="position:absolute;margin-left:367.7pt;margin-top:26.5pt;width:418.9pt;height:68.2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" fillcolor="white [3212]" strokecolor="white [3212]" strokeweight="2pt">
                <w10:wrap anchorx="page"/>
              </v:rect>
            </w:pict>
          </mc:Fallback>
        </mc:AlternateContent>
      </w:r>
    </w:p>
    <w:p>
      <w:pPr>
        <w:spacing w:line="360" w:lineRule="auto"/>
        <w:ind w:left="284" w:firstLine="567"/>
        <w:jc w:val="both"/>
        <w:rPr>
          <w:rFonts w:cstheme="minorHAnsi"/>
          <w:color w:val="000000" w:themeColor="text1"/>
          <w:sz w:val="20"/>
          <w:szCs w:val="20"/>
        </w:rPr>
      </w:pPr>
      <w:r>
        <w:rPr>
          <w:rFonts w:cstheme="minorHAnsi"/>
          <w:noProof/>
          <w:color w:val="000000" w:themeColor="text1"/>
          <w:sz w:val="20"/>
          <w:szCs w:val="20"/>
          <w:lang w:val="en-ID" w:eastAsia="en-ID"/>
        </w:rPr>
        <w:lastRenderedPageBreak/>
        <w:drawing>
          <wp:anchor distT="0" distB="0" distL="114300" distR="114300" simplePos="0" relativeHeight="251702784" behindDoc="0" locked="0" layoutInCell="1" allowOverlap="1">
            <wp:simplePos x="0" y="0"/>
            <wp:positionH relativeFrom="margin">
              <wp:align>center</wp:align>
            </wp:positionH>
            <wp:positionV relativeFrom="paragraph">
              <wp:posOffset>-919481</wp:posOffset>
            </wp:positionV>
            <wp:extent cx="5347794" cy="7411453"/>
            <wp:effectExtent l="0" t="0" r="571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47794" cy="7411453"/>
                    </a:xfrm>
                    <a:prstGeom prst="rect">
                      <a:avLst/>
                    </a:prstGeom>
                  </pic:spPr>
                </pic:pic>
              </a:graphicData>
            </a:graphic>
            <wp14:sizeRelH relativeFrom="page">
              <wp14:pctWidth>0</wp14:pctWidth>
            </wp14:sizeRelH>
            <wp14:sizeRelV relativeFrom="page">
              <wp14:pctHeight>0</wp14:pctHeight>
            </wp14:sizeRelV>
          </wp:anchor>
        </w:drawing>
      </w: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r>
        <w:rPr>
          <w:rFonts w:cstheme="minorHAnsi"/>
          <w:color w:val="000000" w:themeColor="text1"/>
          <w:sz w:val="20"/>
          <w:szCs w:val="20"/>
          <w:lang w:val="en-US"/>
        </w:rPr>
        <w:t>Infografis</w:t>
      </w: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r>
        <w:rPr>
          <w:noProof/>
          <w:lang w:val="en-ID" w:eastAsia="en-ID"/>
        </w:rPr>
        <w:lastRenderedPageBreak/>
        <mc:AlternateContent>
          <mc:Choice Requires="wps">
            <w:drawing>
              <wp:anchor distT="0" distB="0" distL="114300" distR="114300" simplePos="0" relativeHeight="251795968" behindDoc="0" locked="0" layoutInCell="1" allowOverlap="1">
                <wp:simplePos x="0" y="0"/>
                <wp:positionH relativeFrom="page">
                  <wp:align>right</wp:align>
                </wp:positionH>
                <wp:positionV relativeFrom="paragraph">
                  <wp:posOffset>-928169</wp:posOffset>
                </wp:positionV>
                <wp:extent cx="5319716" cy="866899"/>
                <wp:effectExtent l="0" t="0" r="14605" b="28575"/>
                <wp:wrapNone/>
                <wp:docPr id="8209" name="Rectangle 8209"/>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5601BC" id="Rectangle 8209" o:spid="_x0000_s1026" style="position:absolute;margin-left:367.7pt;margin-top:-73.1pt;width:418.9pt;height:68.25pt;z-index:2517959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" fillcolor="white [3212]" strokecolor="white [3212]" strokeweight="2pt">
                <w10:wrap anchorx="page"/>
              </v:rect>
            </w:pict>
          </mc:Fallback>
        </mc:AlternateContent>
      </w: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ind w:left="284" w:firstLine="567"/>
        <w:jc w:val="both"/>
        <w:rPr>
          <w:rFonts w:cstheme="minorHAnsi"/>
          <w:color w:val="000000" w:themeColor="text1"/>
          <w:sz w:val="20"/>
          <w:szCs w:val="20"/>
        </w:rPr>
      </w:pPr>
    </w:p>
    <w:p>
      <w:pPr>
        <w:spacing w:line="360" w:lineRule="auto"/>
        <w:rPr>
          <w:rFonts w:cstheme="minorHAnsi"/>
          <w:lang w:val="en-US"/>
        </w:rPr>
      </w:pPr>
    </w:p>
    <w:p>
      <w:pPr>
        <w:spacing w:line="360" w:lineRule="auto"/>
        <w:rPr>
          <w:rFonts w:cstheme="minorHAnsi"/>
          <w:lang w:val="en-US"/>
        </w:rPr>
      </w:pPr>
    </w:p>
    <w:p>
      <w:pPr>
        <w:spacing w:line="360" w:lineRule="auto"/>
        <w:rPr>
          <w:rFonts w:cstheme="minorHAnsi"/>
          <w:lang w:val="en-US"/>
        </w:rPr>
      </w:pPr>
    </w:p>
    <w:p>
      <w:pPr>
        <w:spacing w:line="360" w:lineRule="auto"/>
        <w:rPr>
          <w:rFonts w:cstheme="minorHAnsi"/>
          <w:lang w:val="en-US"/>
        </w:rPr>
      </w:pPr>
    </w:p>
    <w:p>
      <w:pPr>
        <w:spacing w:line="360" w:lineRule="auto"/>
        <w:rPr>
          <w:rFonts w:cstheme="minorHAnsi"/>
          <w:lang w:val="en-US"/>
        </w:rPr>
      </w:pPr>
    </w:p>
    <w:p>
      <w:pPr>
        <w:spacing w:line="360" w:lineRule="auto"/>
        <w:rPr>
          <w:rFonts w:cstheme="minorHAnsi"/>
          <w:lang w:val="en-US"/>
        </w:rPr>
      </w:pPr>
    </w:p>
    <w:p>
      <w:pPr>
        <w:spacing w:line="360" w:lineRule="auto"/>
        <w:rPr>
          <w:rFonts w:cstheme="minorHAnsi"/>
          <w:lang w:val="en-US"/>
        </w:rPr>
      </w:pPr>
      <w:r>
        <w:rPr>
          <w:noProof/>
          <w:lang w:val="en-ID" w:eastAsia="en-ID"/>
        </w:rPr>
        <mc:AlternateContent>
          <mc:Choice Requires="wps">
            <w:drawing>
              <wp:anchor distT="0" distB="0" distL="114300" distR="114300" simplePos="0" relativeHeight="251718144" behindDoc="0" locked="0" layoutInCell="1" allowOverlap="1">
                <wp:simplePos x="0" y="0"/>
                <wp:positionH relativeFrom="page">
                  <wp:align>left</wp:align>
                </wp:positionH>
                <wp:positionV relativeFrom="paragraph">
                  <wp:posOffset>528521</wp:posOffset>
                </wp:positionV>
                <wp:extent cx="5319716" cy="866899"/>
                <wp:effectExtent l="0" t="0" r="14605" b="28575"/>
                <wp:wrapNone/>
                <wp:docPr id="95" name="Rectangle 95"/>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8A9FD" id="Rectangle 95" o:spid="_x0000_s1026" style="position:absolute;margin-left:0;margin-top:41.6pt;width:418.9pt;height:68.25pt;z-index:2517181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" fillcolor="white [3212]" strokecolor="white [3212]" strokeweight="2pt">
                <w10:wrap anchorx="page"/>
              </v:rect>
            </w:pict>
          </mc:Fallback>
        </mc:AlternateContent>
      </w:r>
    </w:p>
    <w:p>
      <w:pPr>
        <w:spacing w:line="360" w:lineRule="auto"/>
        <w:rPr>
          <w:rFonts w:cstheme="minorHAnsi"/>
          <w:lang w:val="en-US"/>
        </w:rPr>
      </w:pPr>
      <w:r>
        <w:rPr>
          <w:noProof/>
          <w:lang w:val="en-ID" w:eastAsia="en-ID"/>
        </w:rPr>
        <mc:AlternateContent>
          <mc:Choice Requires="wps">
            <w:drawing>
              <wp:anchor distT="0" distB="0" distL="114300" distR="114300" simplePos="0" relativeHeight="251720192" behindDoc="0" locked="0" layoutInCell="1" allowOverlap="1">
                <wp:simplePos x="0" y="0"/>
                <wp:positionH relativeFrom="page">
                  <wp:align>left</wp:align>
                </wp:positionH>
                <wp:positionV relativeFrom="paragraph">
                  <wp:posOffset>743330</wp:posOffset>
                </wp:positionV>
                <wp:extent cx="5319716" cy="866899"/>
                <wp:effectExtent l="0" t="0" r="14605" b="28575"/>
                <wp:wrapNone/>
                <wp:docPr id="96" name="Rectangle 96"/>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E4A90" id="Rectangle 96" o:spid="_x0000_s1026" style="position:absolute;margin-left:0;margin-top:58.55pt;width:418.9pt;height:68.25pt;z-index:2517201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" fillcolor="white [3212]" strokecolor="white [3212]" strokeweight="2pt">
                <w10:wrap anchorx="page"/>
              </v:rect>
            </w:pict>
          </mc:Fallback>
        </mc:AlternateContent>
      </w:r>
    </w:p>
    <w:p>
      <w:pPr>
        <w:pStyle w:val="Heading1"/>
        <w:ind w:right="283"/>
        <w:rPr>
          <w:rFonts w:asciiTheme="minorHAnsi" w:hAnsiTheme="minorHAnsi" w:cstheme="minorHAnsi"/>
          <w:sz w:val="32"/>
          <w:lang w:val="en-US"/>
        </w:rPr>
      </w:pPr>
      <w:bookmarkStart w:id="139" w:name="_Toc118716015"/>
      <w:r>
        <w:rPr>
          <w:rFonts w:asciiTheme="minorHAnsi" w:hAnsiTheme="minorHAnsi" w:cstheme="minorHAnsi"/>
          <w:sz w:val="32"/>
          <w:lang w:val="en-US"/>
        </w:rPr>
        <w:lastRenderedPageBreak/>
        <w:t>BAB IX</w:t>
      </w:r>
      <w:bookmarkEnd w:id="139"/>
    </w:p>
    <w:p>
      <w:pPr>
        <w:pStyle w:val="Title"/>
        <w:ind w:right="283"/>
        <w:rPr>
          <w:rFonts w:cstheme="minorHAnsi"/>
          <w:sz w:val="32"/>
          <w:szCs w:val="32"/>
        </w:rPr>
      </w:pPr>
      <w:r>
        <w:rPr>
          <w:rFonts w:cstheme="minorHAnsi"/>
          <w:sz w:val="32"/>
          <w:szCs w:val="32"/>
        </w:rPr>
        <w:t>PENCAPAIAN PEMBANGUNAN GENDER</w:t>
      </w:r>
    </w:p>
    <w:p>
      <w:pPr>
        <w:pStyle w:val="Title"/>
        <w:ind w:right="283"/>
      </w:pPr>
    </w:p>
    <w:p>
      <w:pPr>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t xml:space="preserve">Gender diartikan sebagai perbedaan fungsi dan peran sosial antara laki-laki dan perempuan yang dikonstruksikan oleh masyarakat. Perbedaan tersebut pada prakteknya sering menimbulkan ketidakadilan, terutama terhadap kaum perempuan baik di lingkungan rumah tangga, pekerjaan masyarakat, kultur, wilayah maupun negara. Oleh sebab itu, untuk menghilangkan ketidakadilan tersebut diperlukan adanya kesetaraan dan keadilan gender dalam proses bermasyarakat dan bernegara. Kesetaraan gender </w:t>
      </w:r>
      <w:r>
        <w:rPr>
          <w:rFonts w:cstheme="minorHAnsi"/>
          <w:i/>
          <w:iCs/>
          <w:sz w:val="20"/>
          <w:szCs w:val="20"/>
        </w:rPr>
        <w:t xml:space="preserve">(gender equity) </w:t>
      </w:r>
      <w:r>
        <w:rPr>
          <w:rFonts w:cstheme="minorHAnsi"/>
          <w:sz w:val="20"/>
          <w:szCs w:val="20"/>
        </w:rPr>
        <w:t>lebih dimaknai sebagai kesamaan kondisi bagi laki-laki dan perempuan untuk memperoleh kesempatan serta hak-haknya sebagai manusia dalam berperan dan berpartisipasi di segala bidang.</w:t>
      </w:r>
    </w:p>
    <w:p>
      <w:pPr>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t xml:space="preserve">Jadi kesetaraan gender bukan hanya dimaknai dari segi perbedaan fisik antara laki-laki dan perempuan saja. Sementara itu, keadilan gender </w:t>
      </w:r>
      <w:r>
        <w:rPr>
          <w:rFonts w:cstheme="minorHAnsi"/>
          <w:i/>
          <w:iCs/>
          <w:sz w:val="20"/>
          <w:szCs w:val="20"/>
        </w:rPr>
        <w:t xml:space="preserve">(gender equality) </w:t>
      </w:r>
      <w:r>
        <w:rPr>
          <w:rFonts w:cstheme="minorHAnsi"/>
          <w:sz w:val="20"/>
          <w:szCs w:val="20"/>
        </w:rPr>
        <w:t xml:space="preserve">merupakan proses dan perlakuan adil terhadap perempuan dan laki-laki, sehingga dalam menjalankan kehidupan bernegara dan bermasyarakat, tidak ada pembakuan peran, beban ganda, subordinasi, marginalisasi dan kekerasan terhadap perempuan maupun laki-laki. Terwujudnya Kesetaraan dan Keadilan Gender (KKG) ditandai dengan tidak adanya diskriminasi antara perempuan dan laki-laki dalam memperoleh akses, kesempatan berpartisipasi, dan kontrol atas pembangunan serta memperoleh manfaat yang setara dan adil dari pembangunan. Memiliki akses dan partisipasi berarti memiliki peluang dan </w:t>
      </w:r>
      <w:r>
        <w:rPr>
          <w:rFonts w:cstheme="minorHAnsi"/>
          <w:sz w:val="20"/>
          <w:szCs w:val="20"/>
        </w:rPr>
        <w:lastRenderedPageBreak/>
        <w:t>kesempatan untuk menggunakan sumberdaya dan memiliki wewenang untuk mengambil keputusan terhadap cara penggunaan dan hasil sumber daya tersebut. Sedangkan memiliki kontrol berarti memiliki kewenangan penuh untuk mengambil keputusan atas penggunaan dan hasil sumber daya.</w:t>
      </w:r>
    </w:p>
    <w:p>
      <w:pPr>
        <w:tabs>
          <w:tab w:val="left" w:pos="5954"/>
        </w:tabs>
        <w:autoSpaceDE w:val="0"/>
        <w:autoSpaceDN w:val="0"/>
        <w:adjustRightInd w:val="0"/>
        <w:spacing w:after="0" w:line="360" w:lineRule="auto"/>
        <w:ind w:left="284" w:right="142" w:firstLine="436"/>
        <w:jc w:val="both"/>
        <w:rPr>
          <w:rFonts w:cstheme="minorHAnsi"/>
          <w:sz w:val="20"/>
          <w:szCs w:val="20"/>
        </w:rPr>
      </w:pPr>
      <w:r>
        <w:rPr>
          <w:rFonts w:cstheme="minorHAnsi"/>
          <w:sz w:val="20"/>
          <w:szCs w:val="20"/>
        </w:rPr>
        <w:t>Upaya untuk mewujudkan kesetaraan dan keadilan gender dalam kehidupan bermasyarakat dan bernegara perlu diwujudkan secara bertahap dan berkesinambungan. Upaya itu diwujudkan dalam kebijakan Negara maupun dalam kebijakan informal yang dipelopori oleh tokoh masyarakat dan tokoh agama terkait dengan kendala-kendala yang struktural maupun kultural yang terjadi pada masyarakat. Diharapkan dengan adanya kebijakan tersebut masing-masing elemen masyarakat dan individu mempunyai sensitifitas gender dan program-program pemerintah harus mengimplementasikan kebijakan yang responsif gender.</w:t>
      </w:r>
    </w:p>
    <w:p>
      <w:pPr>
        <w:tabs>
          <w:tab w:val="left" w:pos="5954"/>
        </w:tabs>
        <w:autoSpaceDE w:val="0"/>
        <w:autoSpaceDN w:val="0"/>
        <w:adjustRightInd w:val="0"/>
        <w:spacing w:after="0" w:line="360" w:lineRule="auto"/>
        <w:ind w:left="284" w:right="142" w:firstLine="436"/>
        <w:jc w:val="both"/>
        <w:rPr>
          <w:rFonts w:cstheme="minorHAnsi"/>
          <w:sz w:val="20"/>
          <w:szCs w:val="20"/>
        </w:rPr>
      </w:pPr>
      <w:r>
        <w:rPr>
          <w:rFonts w:cstheme="minorHAnsi"/>
          <w:sz w:val="20"/>
          <w:szCs w:val="20"/>
        </w:rPr>
        <w:t xml:space="preserve">Partisipasi aktif perempuan dalam pembangunan merupakan bentuk pemberdayaan perempuan yang selaras dengan tujuan kelima Sustainable Development Goals (SDGs), yaitu “Mencapai kesetaraan gender dan memberdayakan semua perempuan dan anak perempuan”. Di Indonesia, pemberdayaan perempuan merupakan bagian dari pengarusutamaan gender yang menjadi agenda prioritas dalam RPJPN 2005-2025. Lima arahan prioritas Presiden Jokowi terkait pemberdayaan perempuan dan perlindungan anak, yaitu: 1) Peningkatan pemberdayaan perempuan dalam kewirausahaan, 2) Peningkatan peran ibu dan keluarga dalam pendidikan/pengasuhan anak, 3) Penurunan kekerasan terhadap </w:t>
      </w:r>
      <w:r>
        <w:rPr>
          <w:rFonts w:cstheme="minorHAnsi"/>
          <w:sz w:val="20"/>
          <w:szCs w:val="20"/>
        </w:rPr>
        <w:lastRenderedPageBreak/>
        <w:t xml:space="preserve">perempuan dan anak, 4) Penurunan pekerja anak, dan 5) Pencegahan perkawinan anak. </w:t>
      </w:r>
    </w:p>
    <w:p>
      <w:pPr>
        <w:autoSpaceDE w:val="0"/>
        <w:autoSpaceDN w:val="0"/>
        <w:adjustRightInd w:val="0"/>
        <w:spacing w:after="0" w:line="360" w:lineRule="auto"/>
        <w:ind w:left="284" w:right="142" w:firstLine="436"/>
        <w:jc w:val="both"/>
        <w:rPr>
          <w:rFonts w:cstheme="minorHAnsi"/>
          <w:sz w:val="20"/>
          <w:szCs w:val="20"/>
        </w:rPr>
      </w:pPr>
      <w:r>
        <w:rPr>
          <w:rFonts w:cstheme="minorHAnsi"/>
          <w:sz w:val="20"/>
          <w:szCs w:val="20"/>
        </w:rPr>
        <w:t xml:space="preserve">Tingkat keberhasilan pembangunan yang sudah mengakomodasi persoalan gender dapat diukur, salah satunya adalah dengan IPG (Indeks Pembangunan Gender), yang telah diperkenalkan oleh </w:t>
      </w:r>
      <w:r>
        <w:rPr>
          <w:rFonts w:cstheme="minorHAnsi"/>
          <w:i/>
          <w:iCs/>
          <w:sz w:val="20"/>
          <w:szCs w:val="20"/>
        </w:rPr>
        <w:t xml:space="preserve">United Nations Development Programs </w:t>
      </w:r>
      <w:r>
        <w:rPr>
          <w:rFonts w:cstheme="minorHAnsi"/>
          <w:sz w:val="20"/>
          <w:szCs w:val="20"/>
        </w:rPr>
        <w:t>(UNDP) dalam Laporan pembangunan Manusia tahun1995. IPG adalah ukuran pembangunan manusia yang merupakan kompositdari empat indikator, yang lebih menekankan status gender, khususnya dalam mengukur kemampuan dasar. Diharapkan dari angka IPG ini mampu memberikan sebagian penjelasan mengenai program-program pembangunan yang sudah mengakomodasi kesetaraan dan keadilan gender.</w:t>
      </w:r>
    </w:p>
    <w:p>
      <w:pPr>
        <w:spacing w:after="0" w:line="360" w:lineRule="auto"/>
        <w:ind w:left="284" w:right="142" w:firstLine="436"/>
        <w:jc w:val="both"/>
        <w:rPr>
          <w:rFonts w:cstheme="minorHAnsi"/>
          <w:sz w:val="20"/>
          <w:szCs w:val="20"/>
        </w:rPr>
      </w:pPr>
      <w:r>
        <w:rPr>
          <w:rFonts w:cstheme="minorHAnsi"/>
          <w:sz w:val="20"/>
          <w:szCs w:val="20"/>
        </w:rPr>
        <w:t xml:space="preserve">Pembangunan Manusia secara kuantitatif dapat digambarkan dari angka IPM. Namun demikian, angka IPM ini belum mampu menjelaskan perbedaan capaian kualitas hidup antara laki-laki dan perempuan. Melalui angka IPG, kesenjangan atau </w:t>
      </w:r>
      <w:r>
        <w:rPr>
          <w:rFonts w:cstheme="minorHAnsi"/>
          <w:i/>
          <w:iCs/>
          <w:sz w:val="20"/>
          <w:szCs w:val="20"/>
        </w:rPr>
        <w:t xml:space="preserve">gap </w:t>
      </w:r>
      <w:r>
        <w:rPr>
          <w:rFonts w:cstheme="minorHAnsi"/>
          <w:sz w:val="20"/>
          <w:szCs w:val="20"/>
        </w:rPr>
        <w:t xml:space="preserve">kemampuan dasar antara laki-laki dan perempuan mampu dijelaskan dengan melihat rasio antara capaian IPM laki-laki dengan IPM perempuan. Semakin tinggi rasionya maka semakin rendah </w:t>
      </w:r>
      <w:r>
        <w:rPr>
          <w:rFonts w:cstheme="minorHAnsi"/>
          <w:i/>
          <w:iCs/>
          <w:sz w:val="20"/>
          <w:szCs w:val="20"/>
        </w:rPr>
        <w:t xml:space="preserve">gap </w:t>
      </w:r>
      <w:r>
        <w:rPr>
          <w:rFonts w:cstheme="minorHAnsi"/>
          <w:sz w:val="20"/>
          <w:szCs w:val="20"/>
        </w:rPr>
        <w:t>kemampuan dasar antara laki-laki dan perempuan, sebaliknya semakin rendah rasio maka semakin tinggi</w:t>
      </w:r>
      <w:r>
        <w:rPr>
          <w:rFonts w:cstheme="minorHAnsi"/>
          <w:i/>
          <w:iCs/>
          <w:sz w:val="20"/>
          <w:szCs w:val="20"/>
        </w:rPr>
        <w:t xml:space="preserve">gap </w:t>
      </w:r>
      <w:r>
        <w:rPr>
          <w:rFonts w:cstheme="minorHAnsi"/>
          <w:sz w:val="20"/>
          <w:szCs w:val="20"/>
        </w:rPr>
        <w:t>kemampuan dasar antara laki-laki dan perempuan.</w:t>
      </w:r>
    </w:p>
    <w:p>
      <w:pPr>
        <w:spacing w:after="0" w:line="360" w:lineRule="auto"/>
        <w:ind w:left="284" w:firstLine="436"/>
        <w:jc w:val="both"/>
        <w:rPr>
          <w:rFonts w:cstheme="minorHAnsi"/>
          <w:sz w:val="20"/>
          <w:szCs w:val="20"/>
        </w:rPr>
      </w:pPr>
    </w:p>
    <w:p>
      <w:pPr>
        <w:spacing w:after="0" w:line="360" w:lineRule="auto"/>
        <w:ind w:left="284" w:firstLine="436"/>
        <w:jc w:val="both"/>
        <w:rPr>
          <w:rFonts w:cstheme="minorHAnsi"/>
          <w:sz w:val="20"/>
          <w:szCs w:val="20"/>
        </w:rPr>
      </w:pPr>
    </w:p>
    <w:p>
      <w:pPr>
        <w:spacing w:after="0" w:line="360" w:lineRule="auto"/>
        <w:ind w:left="284" w:firstLine="436"/>
        <w:jc w:val="both"/>
        <w:rPr>
          <w:rFonts w:cstheme="minorHAnsi"/>
          <w:sz w:val="20"/>
          <w:szCs w:val="20"/>
        </w:rPr>
      </w:pPr>
    </w:p>
    <w:p>
      <w:pPr>
        <w:spacing w:after="0" w:line="360" w:lineRule="auto"/>
        <w:ind w:left="284" w:firstLine="436"/>
        <w:jc w:val="both"/>
        <w:rPr>
          <w:rFonts w:cstheme="minorHAnsi"/>
          <w:sz w:val="20"/>
          <w:szCs w:val="20"/>
        </w:rPr>
      </w:pPr>
    </w:p>
    <w:p>
      <w:pPr>
        <w:pStyle w:val="Heading2"/>
        <w:numPr>
          <w:ilvl w:val="0"/>
          <w:numId w:val="0"/>
        </w:numPr>
        <w:ind w:left="709" w:hanging="425"/>
        <w:rPr>
          <w:rFonts w:asciiTheme="minorHAnsi" w:hAnsiTheme="minorHAnsi" w:cstheme="minorHAnsi"/>
          <w:sz w:val="20"/>
          <w:szCs w:val="20"/>
          <w:lang w:val="en-US"/>
        </w:rPr>
      </w:pPr>
      <w:bookmarkStart w:id="140" w:name="_Toc118716016"/>
      <w:r>
        <w:rPr>
          <w:rFonts w:asciiTheme="minorHAnsi" w:hAnsiTheme="minorHAnsi" w:cstheme="minorHAnsi"/>
          <w:sz w:val="20"/>
          <w:szCs w:val="20"/>
          <w:lang w:val="en-US"/>
        </w:rPr>
        <w:lastRenderedPageBreak/>
        <w:t>9.1</w:t>
      </w:r>
      <w:r>
        <w:rPr>
          <w:rFonts w:asciiTheme="minorHAnsi" w:hAnsiTheme="minorHAnsi" w:cstheme="minorHAnsi"/>
          <w:sz w:val="20"/>
          <w:szCs w:val="20"/>
          <w:lang w:val="en-US"/>
        </w:rPr>
        <w:tab/>
      </w:r>
      <w:r>
        <w:rPr>
          <w:rFonts w:asciiTheme="minorHAnsi" w:hAnsiTheme="minorHAnsi" w:cstheme="minorHAnsi"/>
          <w:bCs/>
          <w:sz w:val="20"/>
          <w:szCs w:val="20"/>
        </w:rPr>
        <w:t>Perkembangan Pembangunan Gender</w:t>
      </w:r>
      <w:bookmarkEnd w:id="140"/>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 xml:space="preserve">Membangun kesetaraan dan keadilan gender tidak dapat dilakukan dalam waktu yang relatif singkat. Terdapat beberapa kendala yang bersumber dari legitimasi konstruksi budaya yang cenderung patriarki, ketidaktepatan interpretasi ajaran agama, dan kebijakan politik. Kesetaraan dan keadilan gender pada prakteknya merujuk pada tidak adanya perbedaan hak dan kewajiban antara laki-laki dan perempuan yang dijamin oleh perundang-undangan yang dihasilkan oleh negara maupun lingkungan bermasyarakat. Jaminan tidak adanya perbedaan dalam status dan kedudukan perempuan dan laki-laki dalam kehidupan berbangsa dan bernegara meliputi partisipasi dalam program pembangunan terutama dalam peningkatan kualitas hidup melalui program peningkatan kapabilitas atau kemampuan dasar. Program tersebut mencakup berbagai pelayanan dasar kesehatan, pendidikan, dan kemudahan akses ekonomi yang diberikan oleh pemerintah. </w:t>
      </w:r>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 xml:space="preserve">Pada implementasinya, upaya peningkatan kapabilitas dasar penduduk perempuan belum sepenuhnya dapat diwujudkan karena terkait beberapa kendala diatas. Untuk mewujudkan persamaan status dan kedudukan perempuan dan laki-laki diimplementasikan melalui berbagai program pembangunan seperti peningkatan peran perempuan dalam pengambilan keputusan di berbagai proses pembangunan, penguatan peran masyarakat, dan peningkatan kualitas kelembagaan berbagai Instansi pemerintah, organisasi perempuan, dan lembaga-lembaga lainnya. </w:t>
      </w:r>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 xml:space="preserve">Pencapaian pembangunan gender di Indonesia cenderung menunjukkan peningkatan dalam 5 tahun terakhir, seperti yang ditunjukkan </w:t>
      </w:r>
      <w:r>
        <w:rPr>
          <w:rFonts w:cstheme="minorHAnsi"/>
          <w:sz w:val="20"/>
          <w:szCs w:val="20"/>
        </w:rPr>
        <w:lastRenderedPageBreak/>
        <w:t>pada Gambar 9.1. Namun, IPG Kalimantan Tengah dalam kurun waktu 2017-2021 cenderung menurun. Pada tahun 2021, IPG Kalimantan Tengah mencapai</w:t>
      </w:r>
      <w:r>
        <w:rPr>
          <w:rFonts w:cstheme="minorHAnsi"/>
          <w:sz w:val="20"/>
          <w:szCs w:val="20"/>
          <w:lang w:val="en-US"/>
        </w:rPr>
        <w:t xml:space="preserve"> </w:t>
      </w:r>
      <w:r>
        <w:rPr>
          <w:rFonts w:cstheme="minorHAnsi"/>
          <w:sz w:val="20"/>
          <w:szCs w:val="20"/>
        </w:rPr>
        <w:t>88,79 berada di bawah IPG Indonesia yang sebesar 91,27.</w:t>
      </w:r>
    </w:p>
    <w:p>
      <w:pPr>
        <w:ind w:left="1418" w:hanging="1134"/>
        <w:jc w:val="both"/>
        <w:rPr>
          <w:rFonts w:cstheme="minorHAnsi"/>
          <w:b/>
          <w:bCs/>
          <w:color w:val="000000" w:themeColor="text1"/>
          <w:sz w:val="20"/>
          <w:szCs w:val="20"/>
        </w:rPr>
      </w:pPr>
      <w:bookmarkStart w:id="141" w:name="_Toc117555584"/>
      <w:r>
        <w:rPr>
          <w:b/>
          <w:bCs/>
          <w:color w:val="000000" w:themeColor="text1"/>
          <w:sz w:val="20"/>
          <w:szCs w:val="20"/>
        </w:rPr>
        <w:t xml:space="preserve">Gambar 9. </w:t>
      </w:r>
      <w:r>
        <w:rPr>
          <w:b/>
          <w:bCs/>
          <w:color w:val="000000" w:themeColor="text1"/>
          <w:sz w:val="20"/>
          <w:szCs w:val="20"/>
        </w:rPr>
        <w:fldChar w:fldCharType="begin"/>
      </w:r>
      <w:r>
        <w:rPr>
          <w:b/>
          <w:bCs/>
          <w:color w:val="000000" w:themeColor="text1"/>
          <w:sz w:val="20"/>
          <w:szCs w:val="20"/>
        </w:rPr>
        <w:instrText xml:space="preserve"> SEQ Gambar_9. \* ARABIC </w:instrText>
      </w:r>
      <w:r>
        <w:rPr>
          <w:b/>
          <w:bCs/>
          <w:color w:val="000000" w:themeColor="text1"/>
          <w:sz w:val="20"/>
          <w:szCs w:val="20"/>
        </w:rPr>
        <w:fldChar w:fldCharType="separate"/>
      </w:r>
      <w:r>
        <w:rPr>
          <w:b/>
          <w:bCs/>
          <w:noProof/>
          <w:color w:val="000000" w:themeColor="text1"/>
          <w:sz w:val="20"/>
          <w:szCs w:val="20"/>
        </w:rPr>
        <w:t>1</w:t>
      </w:r>
      <w:r>
        <w:rPr>
          <w:b/>
          <w:bCs/>
          <w:color w:val="000000" w:themeColor="text1"/>
          <w:sz w:val="20"/>
          <w:szCs w:val="20"/>
        </w:rPr>
        <w:fldChar w:fldCharType="end"/>
      </w:r>
      <w:r>
        <w:rPr>
          <w:b/>
          <w:bCs/>
          <w:color w:val="000000" w:themeColor="text1"/>
          <w:sz w:val="20"/>
          <w:szCs w:val="20"/>
        </w:rPr>
        <w:tab/>
      </w:r>
      <w:r>
        <w:rPr>
          <w:rFonts w:cstheme="minorHAnsi"/>
          <w:b/>
          <w:bCs/>
          <w:color w:val="000000" w:themeColor="text1"/>
          <w:sz w:val="20"/>
          <w:szCs w:val="20"/>
        </w:rPr>
        <w:t>Pencapaian IPG Kalimantan Tengah dan Indonesia, 2017-2021</w:t>
      </w:r>
      <w:bookmarkEnd w:id="141"/>
    </w:p>
    <w:p>
      <w:pPr>
        <w:pStyle w:val="Caption"/>
        <w:rPr>
          <w:rFonts w:cstheme="minorHAnsi"/>
          <w:sz w:val="20"/>
          <w:szCs w:val="20"/>
          <w:lang w:val="en-US"/>
        </w:rPr>
      </w:pPr>
      <w:r>
        <w:rPr>
          <w:noProof/>
          <w:lang w:val="en-ID" w:eastAsia="en-ID"/>
        </w:rPr>
        <w:drawing>
          <wp:anchor distT="0" distB="0" distL="114300" distR="114300" simplePos="0" relativeHeight="251661312" behindDoc="0" locked="0" layoutInCell="1" allowOverlap="1">
            <wp:simplePos x="0" y="0"/>
            <wp:positionH relativeFrom="column">
              <wp:posOffset>201994</wp:posOffset>
            </wp:positionH>
            <wp:positionV relativeFrom="paragraph">
              <wp:posOffset>-950</wp:posOffset>
            </wp:positionV>
            <wp:extent cx="3850640" cy="2197634"/>
            <wp:effectExtent l="0" t="0" r="0" b="0"/>
            <wp:wrapNone/>
            <wp:docPr id="125" name="Chart 1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BD8B07-8218-7BBB-D647-2D6D81FF5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pPr>
        <w:rPr>
          <w:lang w:val="en-US"/>
        </w:rPr>
      </w:pPr>
    </w:p>
    <w:p>
      <w:pPr>
        <w:rPr>
          <w:lang w:val="en-US"/>
        </w:rPr>
      </w:pPr>
    </w:p>
    <w:p>
      <w:pPr>
        <w:rPr>
          <w:lang w:val="en-US"/>
        </w:rPr>
      </w:pPr>
    </w:p>
    <w:p>
      <w:pPr>
        <w:rPr>
          <w:lang w:val="en-US"/>
        </w:rPr>
      </w:pPr>
    </w:p>
    <w:p>
      <w:pPr>
        <w:rPr>
          <w:lang w:val="en-US"/>
        </w:rPr>
      </w:pPr>
    </w:p>
    <w:p>
      <w:pPr>
        <w:autoSpaceDE w:val="0"/>
        <w:autoSpaceDN w:val="0"/>
        <w:adjustRightInd w:val="0"/>
        <w:spacing w:line="360" w:lineRule="auto"/>
        <w:rPr>
          <w:rFonts w:cstheme="minorHAnsi"/>
          <w:i/>
          <w:iCs/>
          <w:sz w:val="20"/>
          <w:szCs w:val="20"/>
        </w:rPr>
      </w:pPr>
    </w:p>
    <w:p>
      <w:pPr>
        <w:autoSpaceDE w:val="0"/>
        <w:autoSpaceDN w:val="0"/>
        <w:adjustRightInd w:val="0"/>
        <w:spacing w:line="360" w:lineRule="auto"/>
        <w:ind w:left="284"/>
        <w:rPr>
          <w:rFonts w:cstheme="minorHAnsi"/>
          <w:i/>
          <w:iCs/>
          <w:sz w:val="16"/>
          <w:szCs w:val="16"/>
        </w:rPr>
      </w:pPr>
      <w:r>
        <w:rPr>
          <w:rFonts w:cstheme="minorHAnsi"/>
          <w:i/>
          <w:iCs/>
          <w:sz w:val="16"/>
          <w:szCs w:val="16"/>
        </w:rPr>
        <w:t>Sumber: BPS, 2021</w:t>
      </w:r>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 xml:space="preserve">Semakin mendekati angka 100, maka semakin kecil ketimpangan yang terjadi antara perempuan dengan laki-laki. Artinya, nilai IPG Kalimantan Tengah tahun 2021 menunjukkan bahwa tujuan untuk menciptakan persamaan dan kesetaraan gender di Provinsi Kalimantan Tengah masih belum optimal dan perlu ditingkatkan mengingat nilainya yang juga rendah dibandingkan nilai IPG Indonesia. </w:t>
      </w:r>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 xml:space="preserve">Oleh sebab itu, diperlukan upaya yang serius dalam meningkatkan kapabilitas dasar penduduk perempuan sehingga memperkecil </w:t>
      </w:r>
      <w:r>
        <w:rPr>
          <w:rFonts w:cstheme="minorHAnsi"/>
          <w:i/>
          <w:iCs/>
          <w:sz w:val="20"/>
          <w:szCs w:val="20"/>
        </w:rPr>
        <w:t xml:space="preserve">gap </w:t>
      </w:r>
      <w:r>
        <w:rPr>
          <w:rFonts w:cstheme="minorHAnsi"/>
          <w:sz w:val="20"/>
          <w:szCs w:val="20"/>
        </w:rPr>
        <w:t xml:space="preserve">yang </w:t>
      </w:r>
      <w:r>
        <w:rPr>
          <w:rFonts w:cstheme="minorHAnsi"/>
          <w:sz w:val="20"/>
          <w:szCs w:val="20"/>
        </w:rPr>
        <w:lastRenderedPageBreak/>
        <w:t xml:space="preserve">terjadi antara kapabilitas dasar laki-laki dan perempuan. Namun demikian, disadari bahwa upaya tersebut tidak bisa dilakukan dalam waktu yang relatif singkat, sehingga upaya yang dilakukan harus terencana secara terus menerus dan berkelanjutan. </w:t>
      </w:r>
    </w:p>
    <w:p>
      <w:pPr>
        <w:autoSpaceDE w:val="0"/>
        <w:autoSpaceDN w:val="0"/>
        <w:adjustRightInd w:val="0"/>
        <w:spacing w:after="0" w:line="360" w:lineRule="auto"/>
        <w:ind w:left="851" w:hanging="567"/>
        <w:jc w:val="both"/>
        <w:rPr>
          <w:rFonts w:cstheme="minorHAnsi"/>
          <w:sz w:val="20"/>
          <w:szCs w:val="20"/>
        </w:rPr>
      </w:pPr>
    </w:p>
    <w:p>
      <w:pPr>
        <w:pStyle w:val="Heading2"/>
        <w:numPr>
          <w:ilvl w:val="0"/>
          <w:numId w:val="0"/>
        </w:numPr>
        <w:ind w:left="851" w:hanging="567"/>
        <w:rPr>
          <w:rFonts w:asciiTheme="minorHAnsi" w:hAnsiTheme="minorHAnsi" w:cstheme="minorHAnsi"/>
          <w:bCs/>
          <w:sz w:val="20"/>
          <w:szCs w:val="20"/>
        </w:rPr>
      </w:pPr>
      <w:bookmarkStart w:id="142" w:name="_Toc118716017"/>
      <w:r>
        <w:rPr>
          <w:rFonts w:asciiTheme="minorHAnsi" w:hAnsiTheme="minorHAnsi" w:cstheme="minorHAnsi"/>
          <w:sz w:val="20"/>
          <w:szCs w:val="20"/>
          <w:lang w:val="en-US"/>
        </w:rPr>
        <w:t>9.2</w:t>
      </w:r>
      <w:r>
        <w:rPr>
          <w:rFonts w:asciiTheme="minorHAnsi" w:hAnsiTheme="minorHAnsi" w:cstheme="minorHAnsi"/>
          <w:lang w:val="en-US"/>
        </w:rPr>
        <w:tab/>
      </w:r>
      <w:r>
        <w:rPr>
          <w:rFonts w:asciiTheme="minorHAnsi" w:hAnsiTheme="minorHAnsi" w:cstheme="minorHAnsi"/>
          <w:bCs/>
          <w:sz w:val="20"/>
          <w:szCs w:val="20"/>
        </w:rPr>
        <w:t>Pencapaian Komponen IPG</w:t>
      </w:r>
      <w:bookmarkEnd w:id="142"/>
    </w:p>
    <w:p>
      <w:pPr>
        <w:autoSpaceDE w:val="0"/>
        <w:autoSpaceDN w:val="0"/>
        <w:adjustRightInd w:val="0"/>
        <w:spacing w:line="360" w:lineRule="auto"/>
        <w:ind w:left="284" w:firstLine="567"/>
        <w:jc w:val="both"/>
        <w:rPr>
          <w:rFonts w:cstheme="minorHAnsi"/>
          <w:sz w:val="20"/>
          <w:szCs w:val="20"/>
        </w:rPr>
      </w:pPr>
      <w:r>
        <w:rPr>
          <w:rFonts w:cstheme="minorHAnsi"/>
          <w:sz w:val="20"/>
          <w:szCs w:val="20"/>
        </w:rPr>
        <w:t>Sebagai indeks komposit, IPG memiliki komponen-komponen pembentuk yang turut menentukan nilai dari IPG itu sendiri. Seperti yang telah dijelaskan sebelumnya, IPG menggambarkan rasio IPM laki-laki dengan IPM perempuan yang diukur dari tiga dimensi, yakni:</w:t>
      </w:r>
    </w:p>
    <w:p>
      <w:pPr>
        <w:pStyle w:val="ListParagraph"/>
        <w:numPr>
          <w:ilvl w:val="3"/>
          <w:numId w:val="25"/>
        </w:numPr>
        <w:autoSpaceDE w:val="0"/>
        <w:autoSpaceDN w:val="0"/>
        <w:adjustRightInd w:val="0"/>
        <w:spacing w:after="0" w:line="360" w:lineRule="auto"/>
        <w:ind w:left="567" w:hanging="283"/>
        <w:jc w:val="both"/>
        <w:rPr>
          <w:rFonts w:cstheme="minorHAnsi"/>
          <w:sz w:val="20"/>
          <w:szCs w:val="20"/>
        </w:rPr>
      </w:pPr>
      <w:r>
        <w:rPr>
          <w:rFonts w:cstheme="minorHAnsi"/>
          <w:sz w:val="20"/>
          <w:szCs w:val="20"/>
        </w:rPr>
        <w:t>Umur Harapan Hidup atau UHH, mewakili dimensi umur panjang dan hidup yang sehat</w:t>
      </w:r>
    </w:p>
    <w:p>
      <w:pPr>
        <w:pStyle w:val="ListParagraph"/>
        <w:numPr>
          <w:ilvl w:val="3"/>
          <w:numId w:val="25"/>
        </w:numPr>
        <w:autoSpaceDE w:val="0"/>
        <w:autoSpaceDN w:val="0"/>
        <w:adjustRightInd w:val="0"/>
        <w:spacing w:after="0" w:line="360" w:lineRule="auto"/>
        <w:ind w:left="567" w:hanging="283"/>
        <w:jc w:val="both"/>
        <w:rPr>
          <w:rFonts w:cstheme="minorHAnsi"/>
          <w:sz w:val="20"/>
          <w:szCs w:val="20"/>
        </w:rPr>
      </w:pPr>
      <w:r>
        <w:rPr>
          <w:rFonts w:cstheme="minorHAnsi"/>
          <w:sz w:val="20"/>
          <w:szCs w:val="20"/>
        </w:rPr>
        <w:t>Harapan Lama Sekolah atau HLS dan Rata-rata Lama Sekolah atau RLS, mewakili dimensi pengetahuan</w:t>
      </w:r>
    </w:p>
    <w:p>
      <w:pPr>
        <w:pStyle w:val="ListParagraph"/>
        <w:numPr>
          <w:ilvl w:val="3"/>
          <w:numId w:val="25"/>
        </w:numPr>
        <w:autoSpaceDE w:val="0"/>
        <w:autoSpaceDN w:val="0"/>
        <w:adjustRightInd w:val="0"/>
        <w:spacing w:after="0" w:line="360" w:lineRule="auto"/>
        <w:ind w:left="567" w:hanging="283"/>
        <w:jc w:val="both"/>
        <w:rPr>
          <w:rFonts w:cstheme="minorHAnsi"/>
          <w:sz w:val="20"/>
          <w:szCs w:val="20"/>
        </w:rPr>
      </w:pPr>
      <w:r>
        <w:rPr>
          <w:rFonts w:cstheme="minorHAnsi"/>
          <w:sz w:val="20"/>
          <w:szCs w:val="20"/>
        </w:rPr>
        <w:t>Pengeluaran per Kapita yang Disesuaikan, mewakili dimensi standar hidup layak</w:t>
      </w:r>
    </w:p>
    <w:p>
      <w:pPr>
        <w:autoSpaceDE w:val="0"/>
        <w:autoSpaceDN w:val="0"/>
        <w:adjustRightInd w:val="0"/>
        <w:spacing w:line="360" w:lineRule="auto"/>
        <w:ind w:left="284" w:firstLine="567"/>
        <w:jc w:val="both"/>
        <w:rPr>
          <w:rFonts w:cstheme="minorHAnsi"/>
          <w:sz w:val="20"/>
          <w:szCs w:val="20"/>
        </w:rPr>
      </w:pPr>
      <w:r>
        <w:rPr>
          <w:rFonts w:cstheme="minorHAnsi"/>
          <w:sz w:val="20"/>
          <w:szCs w:val="20"/>
        </w:rPr>
        <w:t>Oleh karena itu, pada subbab ini akan dibahas perkembangan masing-masing komponen IPG di Kalimantan Tengah.</w:t>
      </w:r>
    </w:p>
    <w:p>
      <w:pPr>
        <w:pStyle w:val="Heading3"/>
        <w:spacing w:line="360" w:lineRule="auto"/>
        <w:ind w:left="851" w:right="283" w:hanging="567"/>
        <w:jc w:val="both"/>
        <w:rPr>
          <w:rFonts w:asciiTheme="minorHAnsi" w:hAnsiTheme="minorHAnsi" w:cstheme="minorHAnsi"/>
          <w:b/>
          <w:bCs/>
          <w:color w:val="000000" w:themeColor="text1"/>
          <w:sz w:val="20"/>
          <w:szCs w:val="20"/>
        </w:rPr>
      </w:pPr>
      <w:bookmarkStart w:id="143" w:name="_Toc118716018"/>
      <w:r>
        <w:rPr>
          <w:rFonts w:asciiTheme="minorHAnsi" w:hAnsiTheme="minorHAnsi" w:cstheme="minorHAnsi"/>
          <w:b/>
          <w:bCs/>
          <w:color w:val="000000" w:themeColor="text1"/>
          <w:sz w:val="20"/>
          <w:szCs w:val="20"/>
          <w:lang w:val="en-US"/>
        </w:rPr>
        <w:t>9.2.1</w:t>
      </w:r>
      <w:r>
        <w:rPr>
          <w:rFonts w:asciiTheme="minorHAnsi" w:hAnsiTheme="minorHAnsi" w:cstheme="minorHAnsi"/>
          <w:b/>
          <w:bCs/>
          <w:color w:val="000000" w:themeColor="text1"/>
          <w:sz w:val="20"/>
          <w:szCs w:val="20"/>
          <w:lang w:val="en-US"/>
        </w:rPr>
        <w:tab/>
        <w:t xml:space="preserve"> </w:t>
      </w:r>
      <w:r>
        <w:rPr>
          <w:rFonts w:asciiTheme="minorHAnsi" w:hAnsiTheme="minorHAnsi" w:cstheme="minorHAnsi"/>
          <w:b/>
          <w:bCs/>
          <w:color w:val="000000" w:themeColor="text1"/>
          <w:sz w:val="20"/>
          <w:szCs w:val="20"/>
        </w:rPr>
        <w:t>Umur Harapan Hidup (UHH)</w:t>
      </w:r>
      <w:bookmarkEnd w:id="143"/>
    </w:p>
    <w:p>
      <w:pPr>
        <w:tabs>
          <w:tab w:val="left" w:pos="851"/>
        </w:tabs>
        <w:spacing w:line="360" w:lineRule="auto"/>
        <w:ind w:left="284" w:right="283" w:firstLine="567"/>
        <w:jc w:val="both"/>
        <w:rPr>
          <w:rFonts w:cstheme="minorHAnsi"/>
          <w:sz w:val="20"/>
          <w:szCs w:val="20"/>
        </w:rPr>
      </w:pPr>
      <w:r>
        <w:rPr>
          <w:rFonts w:cstheme="minorHAnsi"/>
          <w:sz w:val="20"/>
          <w:szCs w:val="20"/>
        </w:rPr>
        <w:t xml:space="preserve">Kesehatan adalah hal yang sangat mendasar dalam kehidupan manusia, yang tercermin dari kondisi fisik yang senantiasa sehat. Untuk mencapai hal tersebut, berbagai langkah telah diupayakan oleh pemerintah salah satunya melalui pembangunan kesehatan. </w:t>
      </w:r>
      <w:r>
        <w:rPr>
          <w:rFonts w:cstheme="minorHAnsi"/>
          <w:sz w:val="20"/>
          <w:szCs w:val="20"/>
        </w:rPr>
        <w:lastRenderedPageBreak/>
        <w:t xml:space="preserve">Pembangunan kesehatan adalah bagian integral dari pembangunan nasional yang bertujuan agar semua lapisan masyarakat memperoleh pelayanan kesehatan secara mudah dan leluasa. Perkembangan dari UHH di Kalimantan Tengah dapat dilihat pada Gambar </w:t>
      </w:r>
      <w:r>
        <w:rPr>
          <w:rFonts w:cstheme="minorHAnsi"/>
          <w:sz w:val="20"/>
          <w:szCs w:val="20"/>
          <w:lang w:val="en-US"/>
        </w:rPr>
        <w:t>9</w:t>
      </w:r>
      <w:r>
        <w:rPr>
          <w:rFonts w:cstheme="minorHAnsi"/>
          <w:sz w:val="20"/>
          <w:szCs w:val="20"/>
        </w:rPr>
        <w:t>.2.</w:t>
      </w:r>
    </w:p>
    <w:p>
      <w:pPr>
        <w:pStyle w:val="Caption"/>
        <w:spacing w:line="276" w:lineRule="auto"/>
        <w:ind w:left="1418" w:right="283" w:hanging="1134"/>
        <w:jc w:val="both"/>
        <w:rPr>
          <w:b/>
          <w:bCs/>
          <w:i w:val="0"/>
          <w:iCs w:val="0"/>
          <w:color w:val="000000" w:themeColor="text1"/>
          <w:sz w:val="20"/>
          <w:szCs w:val="20"/>
          <w:lang w:val="en-US"/>
        </w:rPr>
      </w:pPr>
      <w:bookmarkStart w:id="144" w:name="_Toc117555585"/>
      <w:r>
        <w:rPr>
          <w:noProof/>
          <w:lang w:val="en-ID" w:eastAsia="en-ID"/>
        </w:rPr>
        <w:drawing>
          <wp:anchor distT="0" distB="0" distL="114300" distR="114300" simplePos="0" relativeHeight="251677696" behindDoc="0" locked="0" layoutInCell="1" allowOverlap="1">
            <wp:simplePos x="0" y="0"/>
            <wp:positionH relativeFrom="column">
              <wp:posOffset>157085</wp:posOffset>
            </wp:positionH>
            <wp:positionV relativeFrom="paragraph">
              <wp:posOffset>471329</wp:posOffset>
            </wp:positionV>
            <wp:extent cx="3759835" cy="2143845"/>
            <wp:effectExtent l="0" t="0" r="0" b="0"/>
            <wp:wrapNone/>
            <wp:docPr id="8193" name="Chart 8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FF02AE-564A-AF41-9A69-9C1B8555D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Pr>
          <w:b/>
          <w:bCs/>
          <w:i w:val="0"/>
          <w:iCs w:val="0"/>
          <w:color w:val="000000" w:themeColor="text1"/>
          <w:sz w:val="20"/>
          <w:szCs w:val="20"/>
        </w:rPr>
        <w:t xml:space="preserve">Gambar 9. </w:t>
      </w:r>
      <w:r>
        <w:rPr>
          <w:b/>
          <w:bCs/>
          <w:i w:val="0"/>
          <w:iCs w:val="0"/>
          <w:color w:val="000000" w:themeColor="text1"/>
          <w:sz w:val="20"/>
          <w:szCs w:val="20"/>
        </w:rPr>
        <w:fldChar w:fldCharType="begin"/>
      </w:r>
      <w:r>
        <w:rPr>
          <w:b/>
          <w:bCs/>
          <w:i w:val="0"/>
          <w:iCs w:val="0"/>
          <w:color w:val="000000" w:themeColor="text1"/>
          <w:sz w:val="20"/>
          <w:szCs w:val="20"/>
        </w:rPr>
        <w:instrText xml:space="preserve"> SEQ Gambar_9. \* ARABIC </w:instrText>
      </w:r>
      <w:r>
        <w:rPr>
          <w:b/>
          <w:bCs/>
          <w:i w:val="0"/>
          <w:iCs w:val="0"/>
          <w:color w:val="000000" w:themeColor="text1"/>
          <w:sz w:val="20"/>
          <w:szCs w:val="20"/>
        </w:rPr>
        <w:fldChar w:fldCharType="separate"/>
      </w:r>
      <w:r>
        <w:rPr>
          <w:b/>
          <w:bCs/>
          <w:i w:val="0"/>
          <w:iCs w:val="0"/>
          <w:noProof/>
          <w:color w:val="000000" w:themeColor="text1"/>
          <w:sz w:val="20"/>
          <w:szCs w:val="20"/>
        </w:rPr>
        <w:t>2</w:t>
      </w:r>
      <w:r>
        <w:rPr>
          <w:b/>
          <w:bCs/>
          <w:i w:val="0"/>
          <w:iCs w:val="0"/>
          <w:color w:val="000000" w:themeColor="text1"/>
          <w:sz w:val="20"/>
          <w:szCs w:val="20"/>
        </w:rPr>
        <w:fldChar w:fldCharType="end"/>
      </w:r>
      <w:r>
        <w:rPr>
          <w:b/>
          <w:bCs/>
          <w:i w:val="0"/>
          <w:iCs w:val="0"/>
          <w:color w:val="000000" w:themeColor="text1"/>
          <w:sz w:val="20"/>
          <w:szCs w:val="20"/>
          <w:lang w:val="en-US"/>
        </w:rPr>
        <w:t xml:space="preserve"> </w:t>
      </w:r>
      <w:r>
        <w:rPr>
          <w:b/>
          <w:bCs/>
          <w:i w:val="0"/>
          <w:iCs w:val="0"/>
          <w:color w:val="000000" w:themeColor="text1"/>
          <w:sz w:val="20"/>
          <w:szCs w:val="20"/>
          <w:lang w:val="en-US"/>
        </w:rPr>
        <w:tab/>
        <w:t>Umur Harapan Hidup (UHH) Kalimantan Tengah Menurut Jenis Kelamin, 2019-2021 (dalam tahun)</w:t>
      </w:r>
      <w:bookmarkEnd w:id="144"/>
    </w:p>
    <w:p>
      <w:pPr>
        <w:autoSpaceDE w:val="0"/>
        <w:autoSpaceDN w:val="0"/>
        <w:adjustRightInd w:val="0"/>
        <w:spacing w:line="360" w:lineRule="auto"/>
        <w:rPr>
          <w:rFonts w:cstheme="minorHAnsi"/>
          <w:i/>
          <w:iCs/>
          <w:sz w:val="20"/>
          <w:szCs w:val="20"/>
        </w:rPr>
      </w:pPr>
    </w:p>
    <w:p>
      <w:pPr>
        <w:autoSpaceDE w:val="0"/>
        <w:autoSpaceDN w:val="0"/>
        <w:adjustRightInd w:val="0"/>
        <w:spacing w:line="360" w:lineRule="auto"/>
        <w:rPr>
          <w:rFonts w:cstheme="minorHAnsi"/>
          <w:i/>
          <w:iCs/>
          <w:sz w:val="20"/>
          <w:szCs w:val="20"/>
        </w:rPr>
      </w:pPr>
    </w:p>
    <w:p>
      <w:pPr>
        <w:autoSpaceDE w:val="0"/>
        <w:autoSpaceDN w:val="0"/>
        <w:adjustRightInd w:val="0"/>
        <w:spacing w:line="360" w:lineRule="auto"/>
        <w:rPr>
          <w:rFonts w:cstheme="minorHAnsi"/>
          <w:i/>
          <w:iCs/>
          <w:sz w:val="20"/>
          <w:szCs w:val="20"/>
        </w:rPr>
      </w:pPr>
    </w:p>
    <w:p>
      <w:pPr>
        <w:autoSpaceDE w:val="0"/>
        <w:autoSpaceDN w:val="0"/>
        <w:adjustRightInd w:val="0"/>
        <w:spacing w:line="360" w:lineRule="auto"/>
        <w:rPr>
          <w:rFonts w:cstheme="minorHAnsi"/>
          <w:i/>
          <w:iCs/>
          <w:sz w:val="20"/>
          <w:szCs w:val="20"/>
        </w:rPr>
      </w:pPr>
    </w:p>
    <w:p>
      <w:pPr>
        <w:autoSpaceDE w:val="0"/>
        <w:autoSpaceDN w:val="0"/>
        <w:adjustRightInd w:val="0"/>
        <w:spacing w:line="360" w:lineRule="auto"/>
        <w:rPr>
          <w:rFonts w:cstheme="minorHAnsi"/>
          <w:i/>
          <w:iCs/>
          <w:sz w:val="20"/>
          <w:szCs w:val="20"/>
        </w:rPr>
      </w:pPr>
    </w:p>
    <w:p>
      <w:pPr>
        <w:autoSpaceDE w:val="0"/>
        <w:autoSpaceDN w:val="0"/>
        <w:adjustRightInd w:val="0"/>
        <w:spacing w:line="360" w:lineRule="auto"/>
        <w:rPr>
          <w:rFonts w:cstheme="minorHAnsi"/>
          <w:i/>
          <w:iCs/>
          <w:sz w:val="20"/>
          <w:szCs w:val="20"/>
        </w:rPr>
      </w:pPr>
    </w:p>
    <w:p>
      <w:pPr>
        <w:autoSpaceDE w:val="0"/>
        <w:autoSpaceDN w:val="0"/>
        <w:adjustRightInd w:val="0"/>
        <w:spacing w:line="360" w:lineRule="auto"/>
        <w:ind w:left="284"/>
        <w:rPr>
          <w:rFonts w:cstheme="minorHAnsi"/>
          <w:i/>
          <w:iCs/>
          <w:sz w:val="16"/>
          <w:szCs w:val="16"/>
        </w:rPr>
      </w:pPr>
      <w:r>
        <w:rPr>
          <w:rFonts w:cstheme="minorHAnsi"/>
          <w:i/>
          <w:iCs/>
          <w:sz w:val="16"/>
          <w:szCs w:val="16"/>
        </w:rPr>
        <w:t>Sumber: BPS, 2021</w:t>
      </w:r>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 xml:space="preserve">Dari gambar tersebut dapat dilihat bahwa secara umum tren UHH baik untuk penduduk laki-laki maupun penduduk perempuan cenderung mengalami peningkatan dari periode 2019 hingga 2021. Hal ini mengindikasikan bahwa pembangunan di bidang kesehatan di Kalimantan Tengah telah berdampak pada kualitas kesehatan penduduk. Nilai UHH pada penduduk perempuan sebesar 71,72 tahun menunjukkan bahwa secara rata-rata bayi perempuan yang baru lahir pada tahun 2021 di Provinsi </w:t>
      </w:r>
      <w:r>
        <w:rPr>
          <w:rFonts w:cstheme="minorHAnsi"/>
          <w:sz w:val="20"/>
          <w:szCs w:val="20"/>
        </w:rPr>
        <w:lastRenderedPageBreak/>
        <w:t xml:space="preserve">Kalimantan Tengah memiliki peluang untuk bertahan hidup sampai dengan 71,72 tahun. Besaran UHH pada Gambar 10.2 menunjukkan terdapat perbedaan level capaian yang nyata antara UHH perempuan dan laki-laki, dimana level UHH penduduk laki-laki lebih rendah yaitu kurang lebih sekitar 4 tahun dibanding level UHH penduduk perempuan. </w:t>
      </w:r>
    </w:p>
    <w:p>
      <w:pPr>
        <w:autoSpaceDE w:val="0"/>
        <w:autoSpaceDN w:val="0"/>
        <w:adjustRightInd w:val="0"/>
        <w:spacing w:after="0" w:line="360" w:lineRule="auto"/>
        <w:ind w:left="284" w:firstLine="567"/>
        <w:jc w:val="both"/>
        <w:rPr>
          <w:rFonts w:cstheme="minorHAnsi"/>
          <w:sz w:val="20"/>
          <w:szCs w:val="20"/>
        </w:rPr>
      </w:pPr>
    </w:p>
    <w:p>
      <w:pPr>
        <w:pStyle w:val="Heading3"/>
        <w:spacing w:before="0" w:line="360" w:lineRule="auto"/>
        <w:ind w:left="851" w:hanging="567"/>
        <w:rPr>
          <w:rFonts w:asciiTheme="minorHAnsi" w:hAnsiTheme="minorHAnsi" w:cstheme="minorHAnsi"/>
          <w:b/>
          <w:bCs/>
          <w:color w:val="000000" w:themeColor="text1"/>
          <w:sz w:val="20"/>
          <w:szCs w:val="20"/>
        </w:rPr>
      </w:pPr>
      <w:bookmarkStart w:id="145" w:name="_Toc118716019"/>
      <w:r>
        <w:rPr>
          <w:rFonts w:asciiTheme="minorHAnsi" w:hAnsiTheme="minorHAnsi" w:cstheme="minorHAnsi"/>
          <w:b/>
          <w:bCs/>
          <w:color w:val="000000" w:themeColor="text1"/>
          <w:sz w:val="20"/>
          <w:szCs w:val="20"/>
          <w:lang w:val="en-US"/>
        </w:rPr>
        <w:t>9.2.2</w:t>
      </w:r>
      <w:r>
        <w:rPr>
          <w:rFonts w:asciiTheme="minorHAnsi" w:hAnsiTheme="minorHAnsi" w:cstheme="minorHAnsi"/>
          <w:b/>
          <w:bCs/>
          <w:color w:val="000000" w:themeColor="text1"/>
          <w:sz w:val="20"/>
          <w:szCs w:val="20"/>
          <w:lang w:val="en-US"/>
        </w:rPr>
        <w:tab/>
      </w:r>
      <w:r>
        <w:rPr>
          <w:rFonts w:asciiTheme="minorHAnsi" w:hAnsiTheme="minorHAnsi" w:cstheme="minorHAnsi"/>
          <w:b/>
          <w:bCs/>
          <w:color w:val="000000" w:themeColor="text1"/>
          <w:sz w:val="20"/>
          <w:szCs w:val="20"/>
        </w:rPr>
        <w:t>Harapan Lama Sekolah (HLS) dan Rata-rata Lama Sekolah (RLS)</w:t>
      </w:r>
      <w:bookmarkEnd w:id="145"/>
    </w:p>
    <w:p>
      <w:pPr>
        <w:autoSpaceDE w:val="0"/>
        <w:autoSpaceDN w:val="0"/>
        <w:adjustRightInd w:val="0"/>
        <w:spacing w:after="0" w:line="360" w:lineRule="auto"/>
        <w:ind w:left="284" w:right="-1" w:firstLine="567"/>
        <w:jc w:val="both"/>
        <w:rPr>
          <w:rFonts w:cstheme="minorHAnsi"/>
          <w:sz w:val="20"/>
          <w:szCs w:val="20"/>
        </w:rPr>
      </w:pPr>
      <w:r>
        <w:rPr>
          <w:rFonts w:cstheme="minorHAnsi"/>
          <w:sz w:val="20"/>
          <w:szCs w:val="20"/>
        </w:rPr>
        <w:t>Dalam pembangunan suatu bangsa, pendidikan yang berkualitas merupakan modal dasar pembangunan yang akan menentukan arah perkembangan dan kemajuan suatu bangsa dan negara. Pendidikan merupakan faktor penting dalam kemajuan pembangunan manusia karena pendidikan membawa dampak yang positif bagi kualitas manusia. Menurut Boserup (1984), pendidikan mampu membangun pola pikir seseorang menjadi lebih peka dan kritis dalam menanggapi suatu permasalahan, serta membuka pengetahuan seseorang yang memungkinkan ia untuk mengubah nasibnya. Oleh sebab itu, pemerintah harus mampu meningkatkan pembangunan pendidikan di Indonesia menjadi prioritas kebijakan pemerintah. Pembangunan dan revitalisasi gedung-gedung sekolah merupakan salah satu upaya dalam meningkatkan partisipasi sekolah secara berkelanjutan.</w:t>
      </w:r>
    </w:p>
    <w:p>
      <w:pPr>
        <w:autoSpaceDE w:val="0"/>
        <w:autoSpaceDN w:val="0"/>
        <w:adjustRightInd w:val="0"/>
        <w:spacing w:after="0" w:line="360" w:lineRule="auto"/>
        <w:ind w:left="284" w:right="-1" w:firstLine="567"/>
        <w:jc w:val="both"/>
        <w:rPr>
          <w:rFonts w:cstheme="minorHAnsi"/>
          <w:sz w:val="20"/>
          <w:szCs w:val="20"/>
        </w:rPr>
      </w:pPr>
      <w:r>
        <w:rPr>
          <w:rFonts w:cstheme="minorHAnsi"/>
          <w:sz w:val="20"/>
          <w:szCs w:val="20"/>
        </w:rPr>
        <w:t xml:space="preserve">RPJMN 2020-2024 yaitu “Meningkatkan SDM yang berkualitas dan berdaya saing”. Untuk mendukung pencapaian tersebut, Renstra Kemendikbud Tahun 2020-2024 berfokus pada Kebijakan Merdeka Belajar yang bercita-cita menghadirkan pendidikan yang bermutu tinggi bagi semua rakyat Indonesia. Kemendikbud tahun 2020-2024 kembali melanjutkan </w:t>
      </w:r>
      <w:r>
        <w:rPr>
          <w:rFonts w:cstheme="minorHAnsi"/>
          <w:sz w:val="20"/>
          <w:szCs w:val="20"/>
        </w:rPr>
        <w:lastRenderedPageBreak/>
        <w:t>Program Indonesia Pintar yaitu program pemberian bantuan keuangan kepada anak usia sekolah (6-21 tahun) yang bertujuan untuk meringankan beban biaya pendidikan yang dikeluarkan demi keberlangsungan pendidikan yang ditempuh.</w:t>
      </w:r>
    </w:p>
    <w:p>
      <w:pPr>
        <w:autoSpaceDE w:val="0"/>
        <w:autoSpaceDN w:val="0"/>
        <w:adjustRightInd w:val="0"/>
        <w:spacing w:after="0" w:line="360" w:lineRule="auto"/>
        <w:ind w:left="284" w:right="-1" w:firstLine="567"/>
        <w:jc w:val="both"/>
        <w:rPr>
          <w:rFonts w:cstheme="minorHAnsi"/>
          <w:sz w:val="20"/>
          <w:szCs w:val="20"/>
        </w:rPr>
      </w:pPr>
      <w:r>
        <w:rPr>
          <w:rFonts w:cstheme="minorHAnsi"/>
          <w:sz w:val="20"/>
          <w:szCs w:val="20"/>
        </w:rPr>
        <w:t>Untuk mengukur keberlangsungan Pendidikan yang ditempuh oleh penduduk dapat dicerminkan dari Harapan Lama Sekolah (HLS)/</w:t>
      </w:r>
      <w:r>
        <w:rPr>
          <w:rFonts w:cstheme="minorHAnsi"/>
          <w:i/>
          <w:sz w:val="20"/>
          <w:szCs w:val="20"/>
        </w:rPr>
        <w:t xml:space="preserve">Expected Years of Schoolong (EYS) </w:t>
      </w:r>
      <w:r>
        <w:rPr>
          <w:rFonts w:cstheme="minorHAnsi"/>
          <w:sz w:val="20"/>
          <w:szCs w:val="20"/>
        </w:rPr>
        <w:t xml:space="preserve">dan Rata-rata Lama Sekolah (RLS)/ </w:t>
      </w:r>
      <w:r>
        <w:rPr>
          <w:rFonts w:cstheme="minorHAnsi"/>
          <w:i/>
          <w:iCs/>
          <w:sz w:val="20"/>
          <w:szCs w:val="20"/>
        </w:rPr>
        <w:t>Mean Years Schooling (</w:t>
      </w:r>
      <w:r>
        <w:rPr>
          <w:rFonts w:cstheme="minorHAnsi"/>
          <w:sz w:val="20"/>
          <w:szCs w:val="20"/>
        </w:rPr>
        <w:t>MYS). HLS menggambarkan lamanya sekolah (dalam tahun) yang diharapkan akan dirasakan oleh anak pada umur tertentu di masa mendatang. Sedangkan indikator rata-rata lama sekolah merepresentasikan Rata-rata jumlah tahun yang dihabiskan oleh penduduk berusia 15 tahun ke atas untuk menempuh semua jenis pendidikan yang pernah dijalani.</w:t>
      </w:r>
    </w:p>
    <w:p>
      <w:pPr>
        <w:spacing w:before="240"/>
        <w:ind w:left="1418" w:hanging="1134"/>
        <w:jc w:val="both"/>
        <w:rPr>
          <w:rFonts w:cstheme="minorHAnsi"/>
          <w:b/>
          <w:bCs/>
          <w:sz w:val="20"/>
          <w:szCs w:val="20"/>
        </w:rPr>
      </w:pPr>
      <w:bookmarkStart w:id="146" w:name="_Toc117555586"/>
      <w:r>
        <w:rPr>
          <w:noProof/>
          <w:lang w:val="en-ID" w:eastAsia="en-ID"/>
        </w:rPr>
        <w:drawing>
          <wp:anchor distT="0" distB="0" distL="114300" distR="114300" simplePos="0" relativeHeight="251678720" behindDoc="0" locked="0" layoutInCell="1" allowOverlap="1">
            <wp:simplePos x="0" y="0"/>
            <wp:positionH relativeFrom="column">
              <wp:posOffset>165484</wp:posOffset>
            </wp:positionH>
            <wp:positionV relativeFrom="paragraph">
              <wp:posOffset>504707</wp:posOffset>
            </wp:positionV>
            <wp:extent cx="3930650" cy="1360967"/>
            <wp:effectExtent l="0" t="0" r="12700" b="10795"/>
            <wp:wrapNone/>
            <wp:docPr id="8194" name="Chart 81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A64765-875F-F2A6-6D75-73D5A47BF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Pr>
          <w:b/>
          <w:bCs/>
          <w:sz w:val="20"/>
          <w:szCs w:val="20"/>
        </w:rPr>
        <w:t xml:space="preserve">Gambar 9. </w:t>
      </w:r>
      <w:r>
        <w:rPr>
          <w:b/>
          <w:bCs/>
          <w:sz w:val="20"/>
          <w:szCs w:val="20"/>
        </w:rPr>
        <w:fldChar w:fldCharType="begin"/>
      </w:r>
      <w:r>
        <w:rPr>
          <w:b/>
          <w:bCs/>
          <w:sz w:val="20"/>
          <w:szCs w:val="20"/>
        </w:rPr>
        <w:instrText xml:space="preserve"> SEQ Gambar_9. \* ARABIC </w:instrText>
      </w:r>
      <w:r>
        <w:rPr>
          <w:b/>
          <w:bCs/>
          <w:sz w:val="20"/>
          <w:szCs w:val="20"/>
        </w:rPr>
        <w:fldChar w:fldCharType="separate"/>
      </w:r>
      <w:r>
        <w:rPr>
          <w:b/>
          <w:bCs/>
          <w:noProof/>
          <w:sz w:val="20"/>
          <w:szCs w:val="20"/>
        </w:rPr>
        <w:t>3</w:t>
      </w:r>
      <w:r>
        <w:rPr>
          <w:b/>
          <w:bCs/>
          <w:sz w:val="20"/>
          <w:szCs w:val="20"/>
        </w:rPr>
        <w:fldChar w:fldCharType="end"/>
      </w:r>
      <w:r>
        <w:rPr>
          <w:b/>
          <w:bCs/>
          <w:sz w:val="20"/>
          <w:szCs w:val="20"/>
        </w:rPr>
        <w:tab/>
      </w:r>
      <w:r>
        <w:rPr>
          <w:rFonts w:cstheme="minorHAnsi"/>
          <w:b/>
          <w:bCs/>
          <w:color w:val="000000"/>
          <w:sz w:val="20"/>
          <w:szCs w:val="20"/>
        </w:rPr>
        <w:t>Pencapaian Harapan Lama Sekolah (HLS) Kalimantan Tengah Menurut Jenis Kelamin, 2019-2021 (dalam tahun)</w:t>
      </w:r>
      <w:bookmarkEnd w:id="146"/>
    </w:p>
    <w:p>
      <w:pPr>
        <w:pStyle w:val="Caption"/>
        <w:rPr>
          <w:lang w:val="en-US"/>
        </w:rPr>
      </w:pPr>
    </w:p>
    <w:p>
      <w:pPr>
        <w:rPr>
          <w:lang w:val="en-US"/>
        </w:rPr>
      </w:pPr>
    </w:p>
    <w:p>
      <w:pPr>
        <w:rPr>
          <w:lang w:val="en-US"/>
        </w:rPr>
      </w:pPr>
    </w:p>
    <w:p>
      <w:pPr>
        <w:rPr>
          <w:lang w:val="en-US"/>
        </w:rPr>
      </w:pPr>
    </w:p>
    <w:p>
      <w:pPr>
        <w:autoSpaceDE w:val="0"/>
        <w:autoSpaceDN w:val="0"/>
        <w:adjustRightInd w:val="0"/>
        <w:spacing w:line="360" w:lineRule="auto"/>
        <w:ind w:left="426" w:hanging="142"/>
        <w:rPr>
          <w:rFonts w:cstheme="minorHAnsi"/>
          <w:i/>
          <w:iCs/>
          <w:sz w:val="16"/>
          <w:szCs w:val="16"/>
        </w:rPr>
      </w:pPr>
      <w:r>
        <w:rPr>
          <w:rFonts w:cstheme="minorHAnsi"/>
          <w:i/>
          <w:iCs/>
          <w:sz w:val="16"/>
          <w:szCs w:val="16"/>
        </w:rPr>
        <w:t>Sumber: BPS, 2021</w:t>
      </w:r>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 xml:space="preserve">Dari Gambar 9.3 di atas terlihat bahwa pada periode 2019–2021 secara umum HLS penduduk laki-laki dan juga penduduk perempuan terus mengalami peningkatan, meski laju peningkatannya terlihat sangat perlahan </w:t>
      </w:r>
      <w:r>
        <w:rPr>
          <w:rFonts w:cstheme="minorHAnsi"/>
          <w:sz w:val="20"/>
          <w:szCs w:val="20"/>
        </w:rPr>
        <w:lastRenderedPageBreak/>
        <w:t>khususnya untuk HLS penduduk perempuan. Dalam kurun waktu tiga tahun terakhir, capaian HLS perempuan semakin tinggi, namun nilai capaiannnya selalu lebih rendah dibandingkan capaian HLS laki-laki. HLS perempuan sebesar 12,67 tahun pada tahun 2021 dimaknai sebagai rata-rata anak perempuan usia 7 tahun di Provinsi Kalimantan Tengah yang masuk jenjang pendidikan formal pada tahun 2021 memiliki peluang untuk bersekolah selama 12,67 tahun atau setara dengan Diploma I.</w:t>
      </w:r>
    </w:p>
    <w:p>
      <w:pPr>
        <w:tabs>
          <w:tab w:val="left" w:pos="5954"/>
        </w:tabs>
        <w:autoSpaceDE w:val="0"/>
        <w:autoSpaceDN w:val="0"/>
        <w:adjustRightInd w:val="0"/>
        <w:spacing w:after="0" w:line="360" w:lineRule="auto"/>
        <w:ind w:left="284" w:firstLine="567"/>
        <w:jc w:val="both"/>
        <w:rPr>
          <w:rFonts w:cstheme="minorHAnsi"/>
          <w:sz w:val="20"/>
          <w:szCs w:val="20"/>
        </w:rPr>
      </w:pPr>
      <w:r>
        <w:rPr>
          <w:rFonts w:cstheme="minorHAnsi"/>
          <w:sz w:val="20"/>
          <w:szCs w:val="20"/>
        </w:rPr>
        <w:t>Pada prakteknya dibutuhkan jangka waktu yang cukup lama untuk menjadikan indikator-indikator sosial seperti HLS maupun RLS untuk meningkat secara signifikan. Hal tersebut dikarenakan perubahan kedua indikator tersebut membutuhkan proses yang kompleks, tidak cukup dengan pembangunan gedung-gedung dan fasilitas sekolah saja, tetapi harus diiringi dengan penyediaan tenaga pendidik yang cukup dan berkualitas, akses yang memadai, serta faktor budaya yang mengesampingkan pendidikan harus diperbaiki.</w:t>
      </w:r>
      <w:bookmarkStart w:id="147" w:name="_Toc117555587"/>
    </w:p>
    <w:p>
      <w:pPr>
        <w:spacing w:before="240"/>
        <w:ind w:left="1418" w:right="283" w:hanging="1134"/>
        <w:jc w:val="both"/>
        <w:rPr>
          <w:rFonts w:cstheme="minorHAnsi"/>
          <w:b/>
          <w:bCs/>
          <w:color w:val="000000" w:themeColor="text1"/>
          <w:sz w:val="20"/>
          <w:szCs w:val="20"/>
        </w:rPr>
      </w:pPr>
      <w:r>
        <w:rPr>
          <w:noProof/>
          <w:lang w:val="en-ID" w:eastAsia="en-ID"/>
        </w:rPr>
        <w:drawing>
          <wp:anchor distT="0" distB="0" distL="114300" distR="114300" simplePos="0" relativeHeight="251679744" behindDoc="0" locked="0" layoutInCell="1" allowOverlap="1">
            <wp:simplePos x="0" y="0"/>
            <wp:positionH relativeFrom="column">
              <wp:posOffset>166887</wp:posOffset>
            </wp:positionH>
            <wp:positionV relativeFrom="paragraph">
              <wp:posOffset>545731</wp:posOffset>
            </wp:positionV>
            <wp:extent cx="3787775" cy="1669223"/>
            <wp:effectExtent l="0" t="0" r="3175" b="7620"/>
            <wp:wrapNone/>
            <wp:docPr id="8195" name="Chart 81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CE8A0-0DD2-89FA-68E7-5FEFBD177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Pr>
          <w:b/>
          <w:bCs/>
          <w:color w:val="000000" w:themeColor="text1"/>
          <w:sz w:val="20"/>
          <w:szCs w:val="20"/>
        </w:rPr>
        <w:t xml:space="preserve">Gambar 9. </w:t>
      </w:r>
      <w:r>
        <w:rPr>
          <w:b/>
          <w:bCs/>
          <w:color w:val="000000" w:themeColor="text1"/>
          <w:sz w:val="20"/>
          <w:szCs w:val="20"/>
        </w:rPr>
        <w:fldChar w:fldCharType="begin"/>
      </w:r>
      <w:r>
        <w:rPr>
          <w:b/>
          <w:bCs/>
          <w:color w:val="000000" w:themeColor="text1"/>
          <w:sz w:val="20"/>
          <w:szCs w:val="20"/>
        </w:rPr>
        <w:instrText xml:space="preserve"> SEQ Gambar_9. \* ARABIC </w:instrText>
      </w:r>
      <w:r>
        <w:rPr>
          <w:b/>
          <w:bCs/>
          <w:color w:val="000000" w:themeColor="text1"/>
          <w:sz w:val="20"/>
          <w:szCs w:val="20"/>
        </w:rPr>
        <w:fldChar w:fldCharType="separate"/>
      </w:r>
      <w:r>
        <w:rPr>
          <w:b/>
          <w:bCs/>
          <w:noProof/>
          <w:color w:val="000000" w:themeColor="text1"/>
          <w:sz w:val="20"/>
          <w:szCs w:val="20"/>
        </w:rPr>
        <w:t>4</w:t>
      </w:r>
      <w:r>
        <w:rPr>
          <w:b/>
          <w:bCs/>
          <w:color w:val="000000" w:themeColor="text1"/>
          <w:sz w:val="20"/>
          <w:szCs w:val="20"/>
        </w:rPr>
        <w:fldChar w:fldCharType="end"/>
      </w:r>
      <w:r>
        <w:rPr>
          <w:b/>
          <w:bCs/>
          <w:color w:val="000000" w:themeColor="text1"/>
          <w:sz w:val="20"/>
          <w:szCs w:val="20"/>
        </w:rPr>
        <w:tab/>
      </w:r>
      <w:r>
        <w:rPr>
          <w:rFonts w:cstheme="minorHAnsi"/>
          <w:b/>
          <w:bCs/>
          <w:color w:val="000000" w:themeColor="text1"/>
          <w:sz w:val="20"/>
          <w:szCs w:val="20"/>
        </w:rPr>
        <w:t>Pencapaian Rata-rata Lama Sekolah (RLS) Kalimantan Tengah Menurut Jenis Kelamin, 2019-2021 (dalam tahun)</w:t>
      </w:r>
      <w:bookmarkEnd w:id="147"/>
    </w:p>
    <w:p>
      <w:pPr>
        <w:pStyle w:val="Caption"/>
        <w:ind w:right="283"/>
        <w:rPr>
          <w:rFonts w:cstheme="minorHAnsi"/>
          <w:sz w:val="20"/>
          <w:szCs w:val="20"/>
        </w:rPr>
      </w:pPr>
    </w:p>
    <w:p>
      <w:pPr>
        <w:ind w:right="283"/>
        <w:rPr>
          <w:lang w:val="en-US"/>
        </w:rPr>
      </w:pPr>
    </w:p>
    <w:p>
      <w:pPr>
        <w:ind w:right="283"/>
        <w:rPr>
          <w:lang w:val="en-US"/>
        </w:rPr>
      </w:pPr>
    </w:p>
    <w:p>
      <w:pPr>
        <w:ind w:right="283"/>
        <w:rPr>
          <w:lang w:val="en-US"/>
        </w:rPr>
      </w:pPr>
    </w:p>
    <w:p>
      <w:pPr>
        <w:ind w:right="283"/>
        <w:rPr>
          <w:lang w:val="en-US"/>
        </w:rPr>
      </w:pPr>
    </w:p>
    <w:p>
      <w:pPr>
        <w:autoSpaceDE w:val="0"/>
        <w:autoSpaceDN w:val="0"/>
        <w:adjustRightInd w:val="0"/>
        <w:spacing w:line="360" w:lineRule="auto"/>
        <w:ind w:left="284" w:right="283"/>
        <w:jc w:val="both"/>
        <w:rPr>
          <w:rFonts w:cstheme="minorHAnsi"/>
          <w:sz w:val="16"/>
          <w:szCs w:val="16"/>
        </w:rPr>
      </w:pPr>
      <w:r>
        <w:rPr>
          <w:rFonts w:cstheme="minorHAnsi"/>
          <w:i/>
          <w:iCs/>
          <w:sz w:val="16"/>
          <w:szCs w:val="16"/>
        </w:rPr>
        <w:lastRenderedPageBreak/>
        <w:t>Sumber: BPS, 2021</w:t>
      </w:r>
    </w:p>
    <w:p>
      <w:pPr>
        <w:ind w:right="283"/>
        <w:rPr>
          <w:lang w:val="en-US"/>
        </w:rPr>
      </w:pPr>
    </w:p>
    <w:p>
      <w:pPr>
        <w:autoSpaceDE w:val="0"/>
        <w:autoSpaceDN w:val="0"/>
        <w:adjustRightInd w:val="0"/>
        <w:spacing w:after="0" w:line="360" w:lineRule="auto"/>
        <w:ind w:left="284" w:right="-1" w:firstLine="567"/>
        <w:jc w:val="both"/>
        <w:rPr>
          <w:rFonts w:eastAsia="MyriadPro-Regular" w:cs="MyriadPro-Regular"/>
          <w:sz w:val="20"/>
          <w:szCs w:val="20"/>
        </w:rPr>
      </w:pPr>
      <w:r>
        <w:rPr>
          <w:rFonts w:eastAsia="MyriadPro-Regular" w:cs="MyriadPro-Regular"/>
          <w:sz w:val="20"/>
          <w:szCs w:val="20"/>
        </w:rPr>
        <w:t xml:space="preserve">Sama halnya dengan indikator HLS, RLS penduduk laki-laki maupun perempuan di Provinsi Kalimantan Tengah terlihat mengalami peningkatan. Meskipun demikian, rata-rata lama sekolah cenderung lebih lambat petumbuhannya dibandingkan harapan lama sekolah. Hal ini wajar karena rata-rata lama sekolah menggambarkan indikator </w:t>
      </w:r>
      <w:r>
        <w:rPr>
          <w:rFonts w:eastAsia="MyriadPro-Regular" w:cs="MyriadPro-It"/>
          <w:i/>
          <w:iCs/>
          <w:sz w:val="20"/>
          <w:szCs w:val="20"/>
        </w:rPr>
        <w:t xml:space="preserve">output </w:t>
      </w:r>
      <w:r>
        <w:rPr>
          <w:rFonts w:eastAsia="MyriadPro-Regular" w:cs="MyriadPro-Regular"/>
          <w:sz w:val="20"/>
          <w:szCs w:val="20"/>
        </w:rPr>
        <w:t>pembangunan jangka panjang, sedangkan harapan lama sekolah menggambarkan partisipasi sekolah penduduk umur 7 tahun ke atas. Perlu diketahui, indikator ini merupakan indikator proses pembangunan sebagai ukuran keberhasilan program-program pendidikan jangka pendek. Lebih jauh, rata-rata lama sekolah dan harapan lama sekolah dapat memberikan gambaran tentang capaian (</w:t>
      </w:r>
      <w:r>
        <w:rPr>
          <w:rFonts w:eastAsia="MyriadPro-Regular" w:cs="MyriadPro-It"/>
          <w:i/>
          <w:iCs/>
          <w:sz w:val="20"/>
          <w:szCs w:val="20"/>
        </w:rPr>
        <w:t>stock</w:t>
      </w:r>
      <w:r>
        <w:rPr>
          <w:rFonts w:eastAsia="MyriadPro-Regular" w:cs="MyriadPro-Regular"/>
          <w:sz w:val="20"/>
          <w:szCs w:val="20"/>
        </w:rPr>
        <w:t>) dan penambahan (</w:t>
      </w:r>
      <w:r>
        <w:rPr>
          <w:rFonts w:eastAsia="MyriadPro-Regular" w:cs="MyriadPro-It"/>
          <w:i/>
          <w:iCs/>
          <w:sz w:val="20"/>
          <w:szCs w:val="20"/>
        </w:rPr>
        <w:t>flow</w:t>
      </w:r>
      <w:r>
        <w:rPr>
          <w:rFonts w:eastAsia="MyriadPro-Regular" w:cs="MyriadPro-Regular"/>
          <w:sz w:val="20"/>
          <w:szCs w:val="20"/>
        </w:rPr>
        <w:t>) sumber daya</w:t>
      </w:r>
    </w:p>
    <w:p>
      <w:pPr>
        <w:autoSpaceDE w:val="0"/>
        <w:autoSpaceDN w:val="0"/>
        <w:adjustRightInd w:val="0"/>
        <w:spacing w:after="0" w:line="360" w:lineRule="auto"/>
        <w:ind w:left="284" w:right="-1" w:firstLine="567"/>
        <w:jc w:val="both"/>
        <w:rPr>
          <w:rFonts w:cstheme="minorHAnsi"/>
          <w:sz w:val="20"/>
          <w:szCs w:val="20"/>
        </w:rPr>
      </w:pPr>
      <w:r>
        <w:rPr>
          <w:rFonts w:cstheme="minorHAnsi"/>
          <w:sz w:val="20"/>
          <w:szCs w:val="20"/>
        </w:rPr>
        <w:t>Sama halnya dengan komposisi angka HLS, capaian angka RLS laki-laki selalu di atas capaian perempuan, meskipun perbedaannya hanya kurang dari 1 tahun. Selama periode 2019-2021, pola peningkatan angka RLS laki-laki dan perempuan relatif sama. Pada 2021 angka RLS laki-laki sebesar 8,96 tahun atau setara dengan kelas 3 SMP, sedangkan MYS perempuan adalah 8,29 tahun atau setara dengan kelas 2 SMP (lihat Gambar 9.4). Secara umum, selama periode 2019-2021, perbedaan capaian rata-rata lama sekolah antara laki-laki dan perempuan cenderung konstan. Hal ini dapat menjadi masukan bagi pemerintah untuk lebih mengupayakan peningkatan dan keberlanjutan pembangunan pendidikan masyarakat khususnya bagi perempuan.</w:t>
      </w:r>
    </w:p>
    <w:p>
      <w:pPr>
        <w:autoSpaceDE w:val="0"/>
        <w:autoSpaceDN w:val="0"/>
        <w:adjustRightInd w:val="0"/>
        <w:spacing w:after="0" w:line="360" w:lineRule="auto"/>
        <w:ind w:left="284" w:right="-1" w:firstLine="567"/>
        <w:jc w:val="both"/>
        <w:rPr>
          <w:rFonts w:cstheme="minorHAnsi"/>
          <w:sz w:val="20"/>
          <w:szCs w:val="20"/>
        </w:rPr>
      </w:pPr>
    </w:p>
    <w:p>
      <w:pPr>
        <w:pStyle w:val="Heading3"/>
        <w:spacing w:before="0" w:line="360" w:lineRule="auto"/>
        <w:ind w:left="284" w:right="-1"/>
        <w:rPr>
          <w:rFonts w:asciiTheme="minorHAnsi" w:hAnsiTheme="minorHAnsi" w:cstheme="minorHAnsi"/>
          <w:b/>
          <w:bCs/>
          <w:color w:val="000000" w:themeColor="text1"/>
          <w:sz w:val="20"/>
          <w:szCs w:val="20"/>
        </w:rPr>
      </w:pPr>
      <w:bookmarkStart w:id="148" w:name="_Toc118716020"/>
      <w:r>
        <w:rPr>
          <w:rFonts w:asciiTheme="minorHAnsi" w:hAnsiTheme="minorHAnsi" w:cstheme="minorHAnsi"/>
          <w:b/>
          <w:bCs/>
          <w:color w:val="000000" w:themeColor="text1"/>
          <w:sz w:val="20"/>
          <w:szCs w:val="20"/>
        </w:rPr>
        <w:t>9.2.3. Pengeluaran per Kapita yang Disesuaikan</w:t>
      </w:r>
      <w:bookmarkEnd w:id="148"/>
    </w:p>
    <w:p>
      <w:pPr>
        <w:autoSpaceDE w:val="0"/>
        <w:autoSpaceDN w:val="0"/>
        <w:adjustRightInd w:val="0"/>
        <w:spacing w:after="0" w:line="360" w:lineRule="auto"/>
        <w:ind w:left="284" w:right="-1" w:firstLine="567"/>
        <w:jc w:val="both"/>
        <w:rPr>
          <w:rFonts w:cstheme="minorHAnsi"/>
          <w:sz w:val="20"/>
          <w:szCs w:val="20"/>
        </w:rPr>
      </w:pPr>
      <w:r>
        <w:rPr>
          <w:rFonts w:cstheme="minorHAnsi"/>
          <w:sz w:val="20"/>
          <w:szCs w:val="20"/>
        </w:rPr>
        <w:t>Dimensi terakhir dari pembangunan manusia adalah standar hidup layak yang dicerminkan oleh indikator pengeluaran per kapita yang disesuaikan. Gambar 9.5. menyajikan pengeluaran per kapita yang disesuaikan untuk penduduk laki-laki dan perempuan di Provinsi Kalimantan Tengah pada periode 2019-2021.</w:t>
      </w:r>
    </w:p>
    <w:p>
      <w:pPr>
        <w:autoSpaceDE w:val="0"/>
        <w:autoSpaceDN w:val="0"/>
        <w:adjustRightInd w:val="0"/>
        <w:spacing w:line="360" w:lineRule="auto"/>
        <w:ind w:left="284" w:right="-1" w:firstLine="567"/>
        <w:jc w:val="both"/>
        <w:rPr>
          <w:rFonts w:cstheme="minorHAnsi"/>
          <w:sz w:val="20"/>
          <w:szCs w:val="20"/>
        </w:rPr>
      </w:pPr>
      <w:r>
        <w:rPr>
          <w:rFonts w:cstheme="minorHAnsi"/>
          <w:sz w:val="20"/>
          <w:szCs w:val="20"/>
        </w:rPr>
        <w:t>Secara umum, perkembangan pengeluaran per kapita yang disesuaikan, baik pada laki-laki maupun perempuan, cenderung fluktuatif. Pada tahun 2021, pengeluaran per kapita yang disesuaikan turun dibandingkan tahun 2019 yaitu sebesar 16,15 juta rupiah per tahun untuk laki-laki dan 8,02 juta rupiah per tahun untuk perempuan. Sebagai catatan, pengeluaran per kapita di sini adalah pengeluaran per kapita dengan tahun dasar 2012 yang sudah disesuaikan antar daerah (pengeluaran per kapita disesuaikan).</w:t>
      </w:r>
    </w:p>
    <w:p>
      <w:pPr>
        <w:autoSpaceDE w:val="0"/>
        <w:autoSpaceDN w:val="0"/>
        <w:adjustRightInd w:val="0"/>
        <w:spacing w:line="360" w:lineRule="auto"/>
        <w:ind w:left="284" w:right="-1" w:firstLine="567"/>
        <w:jc w:val="both"/>
        <w:rPr>
          <w:rFonts w:cstheme="minorHAnsi"/>
          <w:sz w:val="20"/>
          <w:szCs w:val="20"/>
        </w:rPr>
      </w:pPr>
    </w:p>
    <w:p>
      <w:pPr>
        <w:autoSpaceDE w:val="0"/>
        <w:autoSpaceDN w:val="0"/>
        <w:adjustRightInd w:val="0"/>
        <w:spacing w:line="360" w:lineRule="auto"/>
        <w:ind w:left="284" w:right="-1" w:firstLine="567"/>
        <w:jc w:val="both"/>
        <w:rPr>
          <w:rFonts w:cstheme="minorHAnsi"/>
          <w:sz w:val="20"/>
          <w:szCs w:val="20"/>
        </w:rPr>
      </w:pPr>
    </w:p>
    <w:p>
      <w:pPr>
        <w:autoSpaceDE w:val="0"/>
        <w:autoSpaceDN w:val="0"/>
        <w:adjustRightInd w:val="0"/>
        <w:spacing w:line="360" w:lineRule="auto"/>
        <w:ind w:left="284" w:right="-1" w:firstLine="567"/>
        <w:jc w:val="both"/>
        <w:rPr>
          <w:rFonts w:cstheme="minorHAnsi"/>
          <w:sz w:val="20"/>
          <w:szCs w:val="20"/>
        </w:rPr>
      </w:pPr>
    </w:p>
    <w:p>
      <w:pPr>
        <w:autoSpaceDE w:val="0"/>
        <w:autoSpaceDN w:val="0"/>
        <w:adjustRightInd w:val="0"/>
        <w:spacing w:line="360" w:lineRule="auto"/>
        <w:ind w:left="284" w:right="-1" w:firstLine="567"/>
        <w:jc w:val="both"/>
        <w:rPr>
          <w:rFonts w:cstheme="minorHAnsi"/>
          <w:sz w:val="20"/>
          <w:szCs w:val="20"/>
        </w:rPr>
      </w:pPr>
    </w:p>
    <w:p>
      <w:pPr>
        <w:autoSpaceDE w:val="0"/>
        <w:autoSpaceDN w:val="0"/>
        <w:adjustRightInd w:val="0"/>
        <w:spacing w:line="360" w:lineRule="auto"/>
        <w:ind w:left="284" w:right="-1" w:firstLine="567"/>
        <w:jc w:val="both"/>
        <w:rPr>
          <w:rFonts w:cstheme="minorHAnsi"/>
          <w:sz w:val="20"/>
          <w:szCs w:val="20"/>
        </w:rPr>
      </w:pPr>
    </w:p>
    <w:p>
      <w:pPr>
        <w:autoSpaceDE w:val="0"/>
        <w:autoSpaceDN w:val="0"/>
        <w:adjustRightInd w:val="0"/>
        <w:spacing w:line="360" w:lineRule="auto"/>
        <w:ind w:left="284" w:right="-1" w:firstLine="567"/>
        <w:jc w:val="both"/>
        <w:rPr>
          <w:rFonts w:cstheme="minorHAnsi"/>
          <w:sz w:val="20"/>
          <w:szCs w:val="20"/>
        </w:rPr>
      </w:pPr>
    </w:p>
    <w:p>
      <w:pPr>
        <w:autoSpaceDE w:val="0"/>
        <w:autoSpaceDN w:val="0"/>
        <w:adjustRightInd w:val="0"/>
        <w:spacing w:line="360" w:lineRule="auto"/>
        <w:ind w:left="284" w:right="-1" w:firstLine="567"/>
        <w:jc w:val="both"/>
        <w:rPr>
          <w:rFonts w:cstheme="minorHAnsi"/>
          <w:sz w:val="20"/>
          <w:szCs w:val="20"/>
        </w:rPr>
      </w:pPr>
    </w:p>
    <w:p>
      <w:pPr>
        <w:autoSpaceDE w:val="0"/>
        <w:autoSpaceDN w:val="0"/>
        <w:adjustRightInd w:val="0"/>
        <w:spacing w:line="360" w:lineRule="auto"/>
        <w:ind w:left="284" w:right="-1" w:firstLine="567"/>
        <w:jc w:val="both"/>
        <w:rPr>
          <w:rFonts w:cstheme="minorHAnsi"/>
          <w:sz w:val="20"/>
          <w:szCs w:val="20"/>
        </w:rPr>
      </w:pPr>
    </w:p>
    <w:p>
      <w:pPr>
        <w:ind w:left="1560" w:right="-1" w:hanging="1276"/>
        <w:jc w:val="both"/>
        <w:rPr>
          <w:rFonts w:cstheme="minorHAnsi"/>
          <w:b/>
          <w:bCs/>
          <w:color w:val="000000"/>
          <w:sz w:val="20"/>
          <w:szCs w:val="20"/>
        </w:rPr>
      </w:pPr>
      <w:bookmarkStart w:id="149" w:name="_Toc117555588"/>
      <w:r>
        <w:rPr>
          <w:noProof/>
          <w:lang w:val="en-ID" w:eastAsia="en-ID"/>
        </w:rPr>
        <w:drawing>
          <wp:anchor distT="0" distB="0" distL="114300" distR="114300" simplePos="0" relativeHeight="251680768" behindDoc="0" locked="0" layoutInCell="1" allowOverlap="1">
            <wp:simplePos x="0" y="0"/>
            <wp:positionH relativeFrom="column">
              <wp:posOffset>180138</wp:posOffset>
            </wp:positionH>
            <wp:positionV relativeFrom="paragraph">
              <wp:posOffset>640379</wp:posOffset>
            </wp:positionV>
            <wp:extent cx="3833250" cy="2504995"/>
            <wp:effectExtent l="0" t="0" r="0" b="0"/>
            <wp:wrapNone/>
            <wp:docPr id="19" name="Chart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E2ED98-AD12-403C-6772-0603A4C5F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Pr>
          <w:b/>
          <w:bCs/>
        </w:rPr>
        <w:t xml:space="preserve">Gambar 9. </w:t>
      </w:r>
      <w:r>
        <w:rPr>
          <w:b/>
          <w:bCs/>
        </w:rPr>
        <w:fldChar w:fldCharType="begin"/>
      </w:r>
      <w:r>
        <w:rPr>
          <w:b/>
          <w:bCs/>
        </w:rPr>
        <w:instrText xml:space="preserve"> SEQ Gambar_9. \* ARABIC </w:instrText>
      </w:r>
      <w:r>
        <w:rPr>
          <w:b/>
          <w:bCs/>
        </w:rPr>
        <w:fldChar w:fldCharType="separate"/>
      </w:r>
      <w:r>
        <w:rPr>
          <w:b/>
          <w:bCs/>
          <w:noProof/>
        </w:rPr>
        <w:t>5</w:t>
      </w:r>
      <w:r>
        <w:rPr>
          <w:b/>
          <w:bCs/>
        </w:rPr>
        <w:fldChar w:fldCharType="end"/>
      </w:r>
      <w:r>
        <w:rPr>
          <w:b/>
          <w:bCs/>
        </w:rPr>
        <w:tab/>
      </w:r>
      <w:r>
        <w:rPr>
          <w:rFonts w:cstheme="minorHAnsi"/>
          <w:b/>
          <w:bCs/>
          <w:color w:val="000000"/>
          <w:sz w:val="20"/>
          <w:szCs w:val="20"/>
        </w:rPr>
        <w:t xml:space="preserve">Pengeluaran per Kapita yang Disesuaikan Kalimantan Tengah </w:t>
      </w:r>
      <w:r>
        <w:rPr>
          <w:rFonts w:cstheme="minorHAnsi"/>
          <w:b/>
          <w:bCs/>
          <w:color w:val="000000"/>
          <w:sz w:val="20"/>
          <w:szCs w:val="20"/>
          <w:lang w:val="en-US"/>
        </w:rPr>
        <w:t xml:space="preserve"> </w:t>
      </w:r>
      <w:r>
        <w:rPr>
          <w:rFonts w:cstheme="minorHAnsi"/>
          <w:b/>
          <w:bCs/>
          <w:color w:val="000000"/>
          <w:sz w:val="20"/>
          <w:szCs w:val="20"/>
        </w:rPr>
        <w:t>Menurut Jenis Kelamin, 2019-2021 (dalam juta rupiah)</w:t>
      </w:r>
      <w:bookmarkEnd w:id="149"/>
    </w:p>
    <w:p>
      <w:pPr>
        <w:pStyle w:val="Caption"/>
        <w:ind w:right="142"/>
        <w:rPr>
          <w:rFonts w:cstheme="minorHAnsi"/>
          <w:sz w:val="20"/>
          <w:szCs w:val="20"/>
        </w:rPr>
      </w:pPr>
    </w:p>
    <w:p>
      <w:pPr>
        <w:ind w:right="142"/>
        <w:rPr>
          <w:lang w:val="en-US"/>
        </w:rPr>
      </w:pPr>
    </w:p>
    <w:p>
      <w:pPr>
        <w:ind w:right="142"/>
        <w:rPr>
          <w:lang w:val="en-US"/>
        </w:rPr>
      </w:pPr>
    </w:p>
    <w:p>
      <w:pPr>
        <w:ind w:right="142"/>
        <w:rPr>
          <w:lang w:val="en-US"/>
        </w:rPr>
      </w:pPr>
    </w:p>
    <w:p>
      <w:pPr>
        <w:ind w:right="142"/>
        <w:rPr>
          <w:lang w:val="en-US"/>
        </w:rPr>
      </w:pPr>
    </w:p>
    <w:p>
      <w:pPr>
        <w:ind w:right="142"/>
        <w:rPr>
          <w:lang w:val="en-US"/>
        </w:rPr>
      </w:pPr>
    </w:p>
    <w:p>
      <w:pPr>
        <w:ind w:right="142"/>
        <w:rPr>
          <w:lang w:val="en-US"/>
        </w:rPr>
      </w:pPr>
    </w:p>
    <w:p>
      <w:pPr>
        <w:ind w:right="142"/>
        <w:rPr>
          <w:lang w:val="en-US"/>
        </w:rPr>
      </w:pPr>
    </w:p>
    <w:p>
      <w:pPr>
        <w:autoSpaceDE w:val="0"/>
        <w:autoSpaceDN w:val="0"/>
        <w:adjustRightInd w:val="0"/>
        <w:spacing w:line="360" w:lineRule="auto"/>
        <w:ind w:left="284" w:right="142"/>
        <w:jc w:val="both"/>
        <w:rPr>
          <w:rFonts w:cstheme="minorHAnsi"/>
          <w:i/>
          <w:iCs/>
          <w:sz w:val="16"/>
          <w:szCs w:val="16"/>
        </w:rPr>
      </w:pPr>
      <w:r>
        <w:rPr>
          <w:rFonts w:cstheme="minorHAnsi"/>
          <w:i/>
          <w:iCs/>
          <w:sz w:val="16"/>
          <w:szCs w:val="16"/>
        </w:rPr>
        <w:t>Sumber: BPS, 2021</w:t>
      </w:r>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 xml:space="preserve">Pada Gambar 9.5 juga terlihat selama tahun 2019-2021 pengeluaran per kapita perempuan konsisten berada jauh di bawah capaian pengeluaran laki-laki. Jarak kesenjangan antara pengeluaran per kapita perempuan dan laki-laki juga tidak mengalami banyak perubahan pada rentang waktu tersebut yang ditunjukkan dengan angka rasio pengeluaran per kapita tidak lebih dari 50 persen. Artinya, selama tiga tahun terakhir pengeluaran per </w:t>
      </w:r>
      <w:r>
        <w:rPr>
          <w:rFonts w:cstheme="minorHAnsi"/>
          <w:sz w:val="20"/>
          <w:szCs w:val="20"/>
        </w:rPr>
        <w:lastRenderedPageBreak/>
        <w:t>kapita perempuan hanya setengah dari pengeluaran per kapita laki-laki. Rasio pengeluaran per kapita ini mengindikasikan adanya kesenjangan pendapatan antara laki-laki dan perempuan. Artinya, kesejahteraan laki-laki di Provinsi Kalimantan Tengah jauh lebih baik dibandingkan perempuan.</w:t>
      </w:r>
    </w:p>
    <w:p>
      <w:pPr>
        <w:autoSpaceDE w:val="0"/>
        <w:autoSpaceDN w:val="0"/>
        <w:adjustRightInd w:val="0"/>
        <w:spacing w:after="0" w:line="360" w:lineRule="auto"/>
        <w:ind w:left="284" w:firstLine="567"/>
        <w:jc w:val="both"/>
        <w:rPr>
          <w:rFonts w:cstheme="minorHAnsi"/>
          <w:sz w:val="20"/>
          <w:szCs w:val="20"/>
        </w:rPr>
      </w:pPr>
    </w:p>
    <w:p>
      <w:pPr>
        <w:pStyle w:val="Heading2"/>
        <w:numPr>
          <w:ilvl w:val="0"/>
          <w:numId w:val="0"/>
        </w:numPr>
        <w:ind w:left="851" w:hanging="567"/>
        <w:jc w:val="both"/>
        <w:rPr>
          <w:rFonts w:asciiTheme="minorHAnsi" w:hAnsiTheme="minorHAnsi" w:cstheme="minorHAnsi"/>
          <w:sz w:val="20"/>
          <w:szCs w:val="20"/>
        </w:rPr>
      </w:pPr>
      <w:bookmarkStart w:id="150" w:name="_Toc118716021"/>
      <w:r>
        <w:rPr>
          <w:rFonts w:asciiTheme="minorHAnsi" w:hAnsiTheme="minorHAnsi" w:cstheme="minorHAnsi"/>
          <w:sz w:val="20"/>
          <w:szCs w:val="20"/>
        </w:rPr>
        <w:t>9.3. Disparitas Pencapaian Pembangunan Gender Antar Wilayah</w:t>
      </w:r>
      <w:r>
        <w:rPr>
          <w:rFonts w:asciiTheme="minorHAnsi" w:hAnsiTheme="minorHAnsi" w:cstheme="minorHAnsi"/>
          <w:sz w:val="20"/>
          <w:szCs w:val="20"/>
          <w:lang w:val="en-US"/>
        </w:rPr>
        <w:t xml:space="preserve"> </w:t>
      </w:r>
      <w:r>
        <w:rPr>
          <w:rFonts w:asciiTheme="minorHAnsi" w:hAnsiTheme="minorHAnsi" w:cstheme="minorHAnsi"/>
          <w:sz w:val="20"/>
          <w:szCs w:val="20"/>
        </w:rPr>
        <w:t>Kab/Kota</w:t>
      </w:r>
      <w:bookmarkEnd w:id="150"/>
    </w:p>
    <w:p>
      <w:pPr>
        <w:autoSpaceDE w:val="0"/>
        <w:autoSpaceDN w:val="0"/>
        <w:adjustRightInd w:val="0"/>
        <w:spacing w:after="0" w:line="360" w:lineRule="auto"/>
        <w:ind w:left="284" w:firstLine="567"/>
        <w:jc w:val="both"/>
        <w:rPr>
          <w:rFonts w:cstheme="minorHAnsi"/>
          <w:sz w:val="20"/>
          <w:szCs w:val="20"/>
        </w:rPr>
      </w:pPr>
      <w:r>
        <w:rPr>
          <w:rFonts w:cstheme="minorHAnsi"/>
          <w:sz w:val="20"/>
          <w:szCs w:val="20"/>
        </w:rPr>
        <w:t>Salah satu tujuan dari pembangunan di Kalimantan Tengah adalah adanya pemerataan hasil pembangunan yang dapat dirasakan oleh seluruh penduduk Kalimantan Tengah. Dengan adanya otonomi daerah, diharapkan tujuan tersebut mampu diwujudkan secara berkesinambungan. Namun demikian, kesenjangan antar wilayah kabupaten/kota belum sepenuhnya bisa dihindari.</w:t>
      </w:r>
    </w:p>
    <w:p>
      <w:pPr>
        <w:spacing w:before="240"/>
        <w:ind w:left="1560" w:hanging="1276"/>
        <w:rPr>
          <w:rFonts w:cstheme="minorHAnsi"/>
          <w:b/>
          <w:bCs/>
          <w:color w:val="000000" w:themeColor="text1"/>
          <w:sz w:val="20"/>
          <w:szCs w:val="20"/>
        </w:rPr>
      </w:pPr>
      <w:bookmarkStart w:id="151" w:name="_Toc117555589"/>
      <w:r>
        <w:rPr>
          <w:noProof/>
          <w:sz w:val="20"/>
          <w:szCs w:val="20"/>
          <w:shd w:val="clear" w:color="auto" w:fill="C0504D" w:themeFill="accent2"/>
          <w:lang w:val="en-ID" w:eastAsia="en-ID"/>
        </w:rPr>
        <w:drawing>
          <wp:anchor distT="0" distB="0" distL="114300" distR="114300" simplePos="0" relativeHeight="251655680" behindDoc="0" locked="0" layoutInCell="1" allowOverlap="1">
            <wp:simplePos x="0" y="0"/>
            <wp:positionH relativeFrom="column">
              <wp:posOffset>166887</wp:posOffset>
            </wp:positionH>
            <wp:positionV relativeFrom="paragraph">
              <wp:posOffset>582872</wp:posOffset>
            </wp:positionV>
            <wp:extent cx="3518535" cy="2211572"/>
            <wp:effectExtent l="0" t="0" r="5715" b="17780"/>
            <wp:wrapNone/>
            <wp:docPr id="22" name="Chart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821CC7-9F64-A56C-6C6A-325303379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Pr>
          <w:b/>
          <w:bCs/>
          <w:color w:val="000000" w:themeColor="text1"/>
          <w:sz w:val="20"/>
          <w:szCs w:val="20"/>
        </w:rPr>
        <w:t xml:space="preserve">Gambar 9. </w:t>
      </w:r>
      <w:r>
        <w:rPr>
          <w:b/>
          <w:bCs/>
          <w:color w:val="000000" w:themeColor="text1"/>
          <w:sz w:val="20"/>
          <w:szCs w:val="20"/>
        </w:rPr>
        <w:fldChar w:fldCharType="begin"/>
      </w:r>
      <w:r>
        <w:rPr>
          <w:b/>
          <w:bCs/>
          <w:color w:val="000000" w:themeColor="text1"/>
          <w:sz w:val="20"/>
          <w:szCs w:val="20"/>
        </w:rPr>
        <w:instrText xml:space="preserve"> SEQ Gambar_9. \* ARABIC </w:instrText>
      </w:r>
      <w:r>
        <w:rPr>
          <w:b/>
          <w:bCs/>
          <w:color w:val="000000" w:themeColor="text1"/>
          <w:sz w:val="20"/>
          <w:szCs w:val="20"/>
        </w:rPr>
        <w:fldChar w:fldCharType="separate"/>
      </w:r>
      <w:r>
        <w:rPr>
          <w:b/>
          <w:bCs/>
          <w:noProof/>
          <w:color w:val="000000" w:themeColor="text1"/>
          <w:sz w:val="20"/>
          <w:szCs w:val="20"/>
        </w:rPr>
        <w:t>6</w:t>
      </w:r>
      <w:r>
        <w:rPr>
          <w:b/>
          <w:bCs/>
          <w:color w:val="000000" w:themeColor="text1"/>
          <w:sz w:val="20"/>
          <w:szCs w:val="20"/>
        </w:rPr>
        <w:fldChar w:fldCharType="end"/>
      </w:r>
      <w:r>
        <w:rPr>
          <w:b/>
          <w:bCs/>
          <w:color w:val="000000" w:themeColor="text1"/>
          <w:sz w:val="20"/>
          <w:szCs w:val="20"/>
        </w:rPr>
        <w:tab/>
      </w:r>
      <w:r>
        <w:rPr>
          <w:rFonts w:cstheme="minorHAnsi"/>
          <w:b/>
          <w:bCs/>
          <w:color w:val="000000" w:themeColor="text1"/>
          <w:sz w:val="20"/>
          <w:szCs w:val="20"/>
        </w:rPr>
        <w:t>Pencapaian IPG Menurut Kabupaten/Kota di Kalimantan Tengah, 2021</w:t>
      </w:r>
      <w:bookmarkEnd w:id="151"/>
    </w:p>
    <w:p>
      <w:pPr>
        <w:spacing w:before="240"/>
        <w:ind w:left="1560" w:hanging="1276"/>
        <w:rPr>
          <w:rFonts w:cstheme="minorHAnsi"/>
          <w:b/>
          <w:bCs/>
          <w:color w:val="000000" w:themeColor="text1"/>
          <w:sz w:val="20"/>
          <w:szCs w:val="20"/>
        </w:rPr>
      </w:pPr>
    </w:p>
    <w:p>
      <w:pPr>
        <w:pStyle w:val="Caption"/>
        <w:rPr>
          <w:rFonts w:cstheme="minorHAnsi"/>
          <w:sz w:val="20"/>
          <w:szCs w:val="20"/>
        </w:rPr>
      </w:pPr>
    </w:p>
    <w:p>
      <w:pPr>
        <w:rPr>
          <w:lang w:val="en-US"/>
        </w:rPr>
      </w:pPr>
    </w:p>
    <w:p>
      <w:pPr>
        <w:rPr>
          <w:lang w:val="en-US"/>
        </w:rPr>
      </w:pPr>
    </w:p>
    <w:p>
      <w:pPr>
        <w:rPr>
          <w:lang w:val="en-US"/>
        </w:rPr>
      </w:pPr>
    </w:p>
    <w:p>
      <w:pPr>
        <w:rPr>
          <w:lang w:val="en-US"/>
        </w:rPr>
      </w:pPr>
    </w:p>
    <w:p>
      <w:pPr>
        <w:rPr>
          <w:sz w:val="16"/>
          <w:szCs w:val="16"/>
          <w:lang w:val="en-US"/>
        </w:rPr>
      </w:pPr>
    </w:p>
    <w:p>
      <w:pPr>
        <w:autoSpaceDE w:val="0"/>
        <w:autoSpaceDN w:val="0"/>
        <w:adjustRightInd w:val="0"/>
        <w:spacing w:line="360" w:lineRule="auto"/>
        <w:ind w:left="284"/>
        <w:jc w:val="both"/>
        <w:rPr>
          <w:rFonts w:cstheme="minorHAnsi"/>
          <w:sz w:val="16"/>
          <w:szCs w:val="16"/>
        </w:rPr>
      </w:pPr>
      <w:r>
        <w:rPr>
          <w:rFonts w:cstheme="minorHAnsi"/>
          <w:i/>
          <w:iCs/>
          <w:sz w:val="16"/>
          <w:szCs w:val="16"/>
        </w:rPr>
        <w:t>Sumber: BPS, 2021</w:t>
      </w:r>
    </w:p>
    <w:p>
      <w:pPr>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lastRenderedPageBreak/>
        <w:t>Secara umum, capaian IPG Provinsi Kalimantan Tengah yaitu 88,79. Pada Gambar 9.6 juga ditunjukkan terdapat empat kabupaten/kota yang memiliki capaian IPG di bawah capaian IPG Kalimantan Tengah dengan IPG terendah berada di Kabupaten Murung Raya (83,55) dan yang tertinggi berada di Kabupaten Kapuas (95,32).</w:t>
      </w:r>
    </w:p>
    <w:p>
      <w:pPr>
        <w:autoSpaceDE w:val="0"/>
        <w:autoSpaceDN w:val="0"/>
        <w:adjustRightInd w:val="0"/>
        <w:spacing w:after="0" w:line="360" w:lineRule="auto"/>
        <w:ind w:left="284" w:right="142" w:firstLine="567"/>
        <w:jc w:val="both"/>
        <w:rPr>
          <w:rFonts w:cstheme="minorHAnsi"/>
          <w:sz w:val="20"/>
          <w:szCs w:val="20"/>
        </w:rPr>
      </w:pPr>
      <w:r>
        <w:rPr>
          <w:rFonts w:cstheme="minorHAnsi"/>
          <w:sz w:val="20"/>
          <w:szCs w:val="20"/>
        </w:rPr>
        <w:t>Banyak faktor yang menyebabkan ketertinggalan capaian IPG antara lain adalah kurangnya ketersediaan prasarana dan sarana dasar ekonomi, terbatasnya kualitas dan kuantitas sumberdaya manusia serta kendala geografis yang relatif masih sulit. Kesemuanya merupakan masalah utama bagi pengembangan pembangunan di wilayah Kalimantan Tengah.</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ID" w:eastAsia="en-ID"/>
        </w:rPr>
        <w:lastRenderedPageBreak/>
        <mc:AlternateContent>
          <mc:Choice Requires="wps">
            <w:drawing>
              <wp:anchor distT="0" distB="0" distL="114300" distR="114300" simplePos="0" relativeHeight="251716096" behindDoc="0" locked="0" layoutInCell="1" allowOverlap="1">
                <wp:simplePos x="0" y="0"/>
                <wp:positionH relativeFrom="margin">
                  <wp:posOffset>4880610</wp:posOffset>
                </wp:positionH>
                <wp:positionV relativeFrom="paragraph">
                  <wp:posOffset>165735</wp:posOffset>
                </wp:positionV>
                <wp:extent cx="5319395" cy="866775"/>
                <wp:effectExtent l="0" t="0" r="14605" b="28575"/>
                <wp:wrapNone/>
                <wp:docPr id="94" name="Rectangle 94"/>
                <wp:cNvGraphicFramePr/>
                <a:graphic xmlns:a="http://schemas.openxmlformats.org/drawingml/2006/main">
                  <a:graphicData uri="http://schemas.microsoft.com/office/word/2010/wordprocessingShape">
                    <wps:wsp>
                      <wps:cNvSpPr/>
                      <wps:spPr>
                        <a:xfrm>
                          <a:off x="0" y="0"/>
                          <a:ext cx="5319395" cy="866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F8563" id="Rectangle 94" o:spid="_x0000_s1026" style="position:absolute;margin-left:384.3pt;margin-top:13.05pt;width:418.85pt;height:68.25pt;z-index:251716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" fillcolor="white [3212]" strokecolor="white [3212]" strokeweight="2pt">
                <w10:wrap anchorx="margin"/>
              </v:rect>
            </w:pict>
          </mc:Fallback>
        </mc:AlternateContent>
      </w:r>
    </w:p>
    <w:p>
      <w:pPr>
        <w:rPr>
          <w:lang w:val="en-US"/>
        </w:rPr>
      </w:pPr>
      <w:r>
        <w:rPr>
          <w:noProof/>
          <w:lang w:val="en-ID" w:eastAsia="en-ID"/>
        </w:rPr>
        <mc:AlternateContent>
          <mc:Choice Requires="wps">
            <w:drawing>
              <wp:anchor distT="0" distB="0" distL="114300" distR="114300" simplePos="0" relativeHeight="251714048" behindDoc="0" locked="0" layoutInCell="1" allowOverlap="1">
                <wp:simplePos x="0" y="0"/>
                <wp:positionH relativeFrom="page">
                  <wp:align>right</wp:align>
                </wp:positionH>
                <wp:positionV relativeFrom="paragraph">
                  <wp:posOffset>-776976</wp:posOffset>
                </wp:positionV>
                <wp:extent cx="5319716" cy="866899"/>
                <wp:effectExtent l="0" t="0" r="14605" b="28575"/>
                <wp:wrapNone/>
                <wp:docPr id="93" name="Rectangle 93"/>
                <wp:cNvGraphicFramePr/>
                <a:graphic xmlns:a="http://schemas.openxmlformats.org/drawingml/2006/main">
                  <a:graphicData uri="http://schemas.microsoft.com/office/word/2010/wordprocessingShape">
                    <wps:wsp>
                      <wps:cNvSpPr/>
                      <wps:spPr>
                        <a:xfrm>
                          <a:off x="0" y="0"/>
                          <a:ext cx="5319716" cy="866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C09F9" id="Rectangle 93" o:spid="_x0000_s1026" style="position:absolute;margin-left:367.7pt;margin-top:-61.2pt;width:418.9pt;height:68.25pt;z-index:25171404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" fillcolor="white [3212]" strokecolor="white [3212]" strokeweight="2pt">
                <w10:wrap anchorx="page"/>
              </v:rect>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noProof/>
          <w:lang w:val="en-ID" w:eastAsia="en-ID"/>
        </w:rPr>
        <w:lastRenderedPageBreak/>
        <mc:AlternateContent>
          <mc:Choice Requires="wps">
            <w:drawing>
              <wp:anchor distT="0" distB="0" distL="114300" distR="114300" simplePos="0" relativeHeight="251798016" behindDoc="0" locked="0" layoutInCell="1" allowOverlap="1">
                <wp:simplePos x="0" y="0"/>
                <wp:positionH relativeFrom="page">
                  <wp:align>right</wp:align>
                </wp:positionH>
                <wp:positionV relativeFrom="paragraph">
                  <wp:posOffset>202565</wp:posOffset>
                </wp:positionV>
                <wp:extent cx="5319395" cy="866775"/>
                <wp:effectExtent l="0" t="0" r="14605" b="28575"/>
                <wp:wrapNone/>
                <wp:docPr id="8210" name="Rectangle 8210"/>
                <wp:cNvGraphicFramePr/>
                <a:graphic xmlns:a="http://schemas.openxmlformats.org/drawingml/2006/main">
                  <a:graphicData uri="http://schemas.microsoft.com/office/word/2010/wordprocessingShape">
                    <wps:wsp>
                      <wps:cNvSpPr/>
                      <wps:spPr>
                        <a:xfrm>
                          <a:off x="0" y="0"/>
                          <a:ext cx="5319395" cy="866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0CCD7" id="Rectangle 8210" o:spid="_x0000_s1026" style="position:absolute;margin-left:367.65pt;margin-top:15.95pt;width:418.85pt;height:68.25pt;z-index:2517980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" fillcolor="white [3212]" strokecolor="white [3212]" strokeweight="2pt">
                <w10:wrap anchorx="page"/>
              </v:rect>
            </w:pict>
          </mc:Fallback>
        </mc:AlternateContent>
      </w:r>
    </w:p>
    <w:p>
      <w:pPr>
        <w:rPr>
          <w:lang w:val="en-US"/>
        </w:rPr>
      </w:pPr>
      <w:r>
        <w:rPr>
          <w:noProof/>
          <w:lang w:val="en-ID" w:eastAsia="en-ID"/>
        </w:rPr>
        <w:drawing>
          <wp:anchor distT="0" distB="0" distL="114300" distR="114300" simplePos="0" relativeHeight="251704832" behindDoc="0" locked="0" layoutInCell="1" allowOverlap="1">
            <wp:simplePos x="0" y="0"/>
            <wp:positionH relativeFrom="page">
              <wp:align>left</wp:align>
            </wp:positionH>
            <wp:positionV relativeFrom="paragraph">
              <wp:posOffset>-904644</wp:posOffset>
            </wp:positionV>
            <wp:extent cx="5440871" cy="7517080"/>
            <wp:effectExtent l="0" t="0" r="7620" b="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40871" cy="7517080"/>
                    </a:xfrm>
                    <a:prstGeom prst="rect">
                      <a:avLst/>
                    </a:prstGeom>
                  </pic:spPr>
                </pic:pic>
              </a:graphicData>
            </a:graphic>
            <wp14:sizeRelH relativeFrom="page">
              <wp14:pctWidth>0</wp14:pctWidth>
            </wp14:sizeRelH>
            <wp14:sizeRelV relativeFrom="page">
              <wp14:pctHeight>0</wp14:pctHeight>
            </wp14:sizeRelV>
          </wp:anchor>
        </w:drawing>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lang w:val="en-US"/>
        </w:rPr>
        <w:t>Cover belakang</w:t>
      </w:r>
    </w:p>
    <w:sectPr>
      <w:headerReference w:type="even" r:id="rId77"/>
      <w:headerReference w:type="default" r:id="rId78"/>
      <w:footerReference w:type="even" r:id="rId79"/>
      <w:footerReference w:type="default" r:id="rId80"/>
      <w:pgSz w:w="8391" w:h="11906" w:code="11"/>
      <w:pgMar w:top="1448" w:right="878" w:bottom="1418" w:left="993" w:header="680"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ldus Roman">
    <w:altName w:val="Cambri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Pro-Regular">
    <w:altName w:val="MS Gothic"/>
    <w:panose1 w:val="00000000000000000000"/>
    <w:charset w:val="80"/>
    <w:family w:val="swiss"/>
    <w:notTrueType/>
    <w:pitch w:val="default"/>
    <w:sig w:usb0="00000000" w:usb1="08070000" w:usb2="00000010" w:usb3="00000000" w:csb0="00020000" w:csb1="00000000"/>
  </w:font>
  <w:font w:name="MyriadPro-It">
    <w:panose1 w:val="00000000000000000000"/>
    <w:charset w:val="00"/>
    <w:family w:val="swiss"/>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20721"/>
      <w:docPartObj>
        <w:docPartGallery w:val="Page Numbers (Bottom of Page)"/>
        <w:docPartUnique/>
      </w:docPartObj>
    </w:sdtPr>
    <w:sdtEndPr>
      <w:rPr>
        <w:noProof/>
      </w:rPr>
    </w:sdtEndPr>
    <w:sdtContent>
      <w:p>
        <w:pPr>
          <w:pStyle w:val="Footer"/>
        </w:pPr>
        <w:r>
          <w:rPr>
            <w:rFonts w:ascii="Trebuchet MS" w:hAnsi="Trebuchet MS"/>
            <w:noProof/>
            <w:lang w:val="en-ID" w:eastAsia="en-ID"/>
          </w:rPr>
          <w:drawing>
            <wp:anchor distT="0" distB="0" distL="114300" distR="114300" simplePos="0" relativeHeight="251669504" behindDoc="1" locked="0" layoutInCell="1" allowOverlap="1">
              <wp:simplePos x="0" y="0"/>
              <wp:positionH relativeFrom="column">
                <wp:posOffset>-582295</wp:posOffset>
              </wp:positionH>
              <wp:positionV relativeFrom="paragraph">
                <wp:posOffset>-158750</wp:posOffset>
              </wp:positionV>
              <wp:extent cx="5379720" cy="4250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5379720" cy="425052"/>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rPr>
          <w:fldChar w:fldCharType="begin"/>
        </w:r>
        <w:r>
          <w:rPr>
            <w:rFonts w:ascii="Trebuchet MS" w:hAnsi="Trebuchet MS"/>
          </w:rPr>
          <w:instrText xml:space="preserve"> PAGE   \* MERGEFORMAT </w:instrText>
        </w:r>
        <w:r>
          <w:rPr>
            <w:rFonts w:ascii="Trebuchet MS" w:hAnsi="Trebuchet MS"/>
          </w:rPr>
          <w:fldChar w:fldCharType="separate"/>
        </w:r>
        <w:r>
          <w:rPr>
            <w:rFonts w:ascii="Trebuchet MS" w:hAnsi="Trebuchet MS"/>
            <w:noProof/>
          </w:rPr>
          <w:t>iv</w:t>
        </w:r>
        <w:r>
          <w:rPr>
            <w:rFonts w:ascii="Trebuchet MS" w:hAnsi="Trebuchet MS"/>
            <w:noProof/>
          </w:rPr>
          <w:fldChar w:fldCharType="end"/>
        </w:r>
      </w:p>
    </w:sdtContent>
  </w:sdt>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F497D" w:themeColor="text2"/>
      </w:rPr>
      <w:id w:val="1852142595"/>
      <w:docPartObj>
        <w:docPartGallery w:val="Page Numbers (Bottom of Page)"/>
        <w:docPartUnique/>
      </w:docPartObj>
    </w:sdtPr>
    <w:sdtEndPr>
      <w:rPr>
        <w:noProof/>
        <w:color w:val="auto"/>
      </w:rPr>
    </w:sdtEndPr>
    <w:sdtContent>
      <w:p>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97964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noProof/>
        <w:color w:val="1F497D" w:themeColor="text2"/>
      </w:rPr>
    </w:pPr>
    <w:r>
      <w:rPr>
        <w:noProof/>
        <w:color w:val="1F497D" w:themeColor="text2"/>
        <w:lang w:val="en-ID" w:eastAsia="en-ID"/>
      </w:rPr>
      <w:drawing>
        <wp:anchor distT="0" distB="0" distL="114300" distR="114300" simplePos="0" relativeHeight="251670528" behindDoc="1" locked="0" layoutInCell="1" allowOverlap="1">
          <wp:simplePos x="0" y="0"/>
          <wp:positionH relativeFrom="column">
            <wp:posOffset>-550545</wp:posOffset>
          </wp:positionH>
          <wp:positionV relativeFrom="paragraph">
            <wp:posOffset>212744</wp:posOffset>
          </wp:positionV>
          <wp:extent cx="5400917" cy="426720"/>
          <wp:effectExtent l="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5400917" cy="426720"/>
                  </a:xfrm>
                  <a:prstGeom prst="rect">
                    <a:avLst/>
                  </a:prstGeom>
                </pic:spPr>
              </pic:pic>
            </a:graphicData>
          </a:graphic>
          <wp14:sizeRelH relativeFrom="margin">
            <wp14:pctWidth>0</wp14:pctWidth>
          </wp14:sizeRelH>
          <wp14:sizeRelV relativeFrom="margin">
            <wp14:pctHeight>0</wp14:pctHeight>
          </wp14:sizeRelV>
        </wp:anchor>
      </w:drawing>
    </w:r>
  </w:p>
  <w:p>
    <w:pPr>
      <w:pStyle w:val="Footer"/>
      <w:jc w:val="right"/>
      <w:rPr>
        <w:noProof/>
        <w:color w:val="1F497D" w:themeColor="text2"/>
      </w:rPr>
    </w:pPr>
  </w:p>
  <w:p>
    <w:pPr>
      <w:pStyle w:val="Footer"/>
      <w:jc w:val="right"/>
      <w:rPr>
        <w:rFonts w:ascii="Trebuchet MS" w:hAnsi="Trebuchet MS"/>
      </w:rPr>
    </w:pPr>
    <w:sdt>
      <w:sdtPr>
        <w:rPr>
          <w:color w:val="1F497D" w:themeColor="text2"/>
        </w:rPr>
        <w:id w:val="-1783098261"/>
        <w:docPartObj>
          <w:docPartGallery w:val="Page Numbers (Bottom of Page)"/>
          <w:docPartUnique/>
        </w:docPartObj>
      </w:sdtPr>
      <w:sdtEndPr>
        <w:rPr>
          <w:rFonts w:ascii="Trebuchet MS" w:hAnsi="Trebuchet MS"/>
          <w:noProof/>
          <w:color w:val="auto"/>
        </w:rPr>
      </w:sdtEndPr>
      <w:sdtContent>
        <w:r>
          <w:rPr>
            <w:rFonts w:ascii="Trebuchet MS" w:hAnsi="Trebuchet MS"/>
          </w:rPr>
          <w:fldChar w:fldCharType="begin"/>
        </w:r>
        <w:r>
          <w:rPr>
            <w:rFonts w:ascii="Trebuchet MS" w:hAnsi="Trebuchet MS"/>
          </w:rPr>
          <w:instrText xml:space="preserve"> PAGE   \* MERGEFORMAT </w:instrText>
        </w:r>
        <w:r>
          <w:rPr>
            <w:rFonts w:ascii="Trebuchet MS" w:hAnsi="Trebuchet MS"/>
          </w:rPr>
          <w:fldChar w:fldCharType="separate"/>
        </w:r>
        <w:r>
          <w:rPr>
            <w:rFonts w:ascii="Trebuchet MS" w:hAnsi="Trebuchet MS"/>
            <w:noProof/>
          </w:rPr>
          <w:t>i</w:t>
        </w:r>
        <w:r>
          <w:rPr>
            <w:rFonts w:ascii="Trebuchet MS" w:hAnsi="Trebuchet MS"/>
            <w:noProof/>
          </w:rPr>
          <w:fldChar w:fldCharType="end"/>
        </w:r>
      </w:sdtContent>
    </w:sdt>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841683"/>
      <w:docPartObj>
        <w:docPartGallery w:val="Page Numbers (Bottom of Page)"/>
        <w:docPartUnique/>
      </w:docPartObj>
    </w:sdtPr>
    <w:sdtEndPr>
      <w:rPr>
        <w:noProof/>
      </w:rPr>
    </w:sdtEndPr>
    <w:sdtContent>
      <w:p>
        <w:pPr>
          <w:pStyle w:val="Footer"/>
          <w:jc w:val="right"/>
        </w:pPr>
        <w:r>
          <w:rPr>
            <w:noProof/>
            <w:lang w:val="en-ID" w:eastAsia="en-ID"/>
          </w:rPr>
          <w:drawing>
            <wp:anchor distT="0" distB="0" distL="114300" distR="114300" simplePos="0" relativeHeight="251662336" behindDoc="1" locked="0" layoutInCell="1" allowOverlap="1">
              <wp:simplePos x="0" y="0"/>
              <wp:positionH relativeFrom="column">
                <wp:posOffset>-412750</wp:posOffset>
              </wp:positionH>
              <wp:positionV relativeFrom="paragraph">
                <wp:posOffset>-124460</wp:posOffset>
              </wp:positionV>
              <wp:extent cx="5546725" cy="359410"/>
              <wp:effectExtent l="0" t="0" r="0" b="2540"/>
              <wp:wrapNone/>
              <wp:docPr id="52" name="Picture 52" descr="D:\### Provinsi\Buat Buku Konsumsi\GAMBAR\foo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 Provinsi\Buat Buku Konsumsi\GAMBAR\footer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467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viii</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639925265"/>
      <w:docPartObj>
        <w:docPartGallery w:val="Page Numbers (Bottom of Page)"/>
        <w:docPartUnique/>
      </w:docPartObj>
    </w:sdtPr>
    <w:sdtEndPr>
      <w:rPr>
        <w:rFonts w:ascii="Cooper Black" w:hAnsi="Cooper Black"/>
        <w:noProof/>
        <w:sz w:val="24"/>
        <w:szCs w:val="24"/>
      </w:rPr>
    </w:sdtEndPr>
    <w:sdtContent>
      <w:p>
        <w:pPr>
          <w:pStyle w:val="Footer"/>
          <w:rPr>
            <w:rFonts w:ascii="Trebuchet MS" w:hAnsi="Trebuchet MS"/>
            <w:b/>
            <w:bCs/>
            <w:noProof/>
            <w:color w:val="000000" w:themeColor="text1"/>
          </w:rPr>
        </w:pPr>
        <w:r>
          <w:rPr>
            <w:rFonts w:ascii="Trebuchet MS" w:hAnsi="Trebuchet MS"/>
            <w:b/>
            <w:bCs/>
            <w:noProof/>
            <w:color w:val="000000" w:themeColor="text1"/>
            <w:lang w:val="en-ID" w:eastAsia="en-ID"/>
          </w:rPr>
          <w:drawing>
            <wp:anchor distT="0" distB="0" distL="114300" distR="114300" simplePos="0" relativeHeight="251672576" behindDoc="1" locked="0" layoutInCell="1" allowOverlap="1">
              <wp:simplePos x="0" y="0"/>
              <wp:positionH relativeFrom="column">
                <wp:posOffset>-617855</wp:posOffset>
              </wp:positionH>
              <wp:positionV relativeFrom="paragraph">
                <wp:posOffset>22225</wp:posOffset>
              </wp:positionV>
              <wp:extent cx="5391876" cy="4267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5391876" cy="426720"/>
                      </a:xfrm>
                      <a:prstGeom prst="rect">
                        <a:avLst/>
                      </a:prstGeom>
                    </pic:spPr>
                  </pic:pic>
                </a:graphicData>
              </a:graphic>
              <wp14:sizeRelH relativeFrom="margin">
                <wp14:pctWidth>0</wp14:pctWidth>
              </wp14:sizeRelH>
              <wp14:sizeRelV relativeFrom="margin">
                <wp14:pctHeight>0</wp14:pctHeight>
              </wp14:sizeRelV>
            </wp:anchor>
          </w:drawing>
        </w:r>
      </w:p>
      <w:p>
        <w:pPr>
          <w:pStyle w:val="Footer"/>
          <w:rPr>
            <w:rFonts w:ascii="Cooper Black" w:hAnsi="Cooper Black"/>
            <w:color w:val="000000" w:themeColor="text1"/>
            <w:sz w:val="24"/>
            <w:szCs w:val="24"/>
          </w:rPr>
        </w:pPr>
        <w:r>
          <w:rPr>
            <w:rFonts w:ascii="Trebuchet MS" w:hAnsi="Trebuchet MS"/>
            <w:b/>
            <w:bCs/>
            <w:color w:val="000000" w:themeColor="text1"/>
          </w:rPr>
          <w:fldChar w:fldCharType="begin"/>
        </w:r>
        <w:r>
          <w:rPr>
            <w:rFonts w:ascii="Trebuchet MS" w:hAnsi="Trebuchet MS"/>
            <w:b/>
            <w:bCs/>
            <w:color w:val="000000" w:themeColor="text1"/>
          </w:rPr>
          <w:instrText xml:space="preserve"> PAGE   \* MERGEFORMAT </w:instrText>
        </w:r>
        <w:r>
          <w:rPr>
            <w:rFonts w:ascii="Trebuchet MS" w:hAnsi="Trebuchet MS"/>
            <w:b/>
            <w:bCs/>
            <w:color w:val="000000" w:themeColor="text1"/>
          </w:rPr>
          <w:fldChar w:fldCharType="separate"/>
        </w:r>
        <w:r>
          <w:rPr>
            <w:rFonts w:ascii="Trebuchet MS" w:hAnsi="Trebuchet MS"/>
            <w:b/>
            <w:bCs/>
            <w:noProof/>
            <w:color w:val="000000" w:themeColor="text1"/>
          </w:rPr>
          <w:t>196</w:t>
        </w:r>
        <w:r>
          <w:rPr>
            <w:rFonts w:ascii="Trebuchet MS" w:hAnsi="Trebuchet MS"/>
            <w:b/>
            <w:bCs/>
            <w:noProof/>
            <w:color w:val="000000" w:themeColor="text1"/>
          </w:rPr>
          <w:fldChar w:fldCharType="end"/>
        </w:r>
        <w:r>
          <w:rPr>
            <w:rFonts w:ascii="Cooper Black" w:eastAsia="Times New Roman" w:hAnsi="Cooper Black" w:cs="Times New Roman"/>
            <w:snapToGrid w:val="0"/>
            <w:color w:val="000000" w:themeColor="text1"/>
            <w:w w:val="0"/>
            <w:sz w:val="24"/>
            <w:szCs w:val="24"/>
            <w:u w:color="000000"/>
            <w:bdr w:val="none" w:sz="0" w:space="0" w:color="000000"/>
            <w:shd w:val="clear" w:color="000000" w:fill="000000"/>
          </w:rPr>
          <w:t xml:space="preserve"> </w:t>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12"/>
      <w:jc w:val="right"/>
      <w:rPr>
        <w:rFonts w:ascii="Trebuchet MS" w:hAnsi="Trebuchet MS"/>
        <w:b/>
        <w:bCs/>
        <w:color w:val="000000" w:themeColor="text1"/>
      </w:rPr>
    </w:pPr>
    <w:r>
      <w:rPr>
        <w:noProof/>
        <w:color w:val="000000" w:themeColor="text1"/>
        <w:lang w:val="en-ID" w:eastAsia="en-ID"/>
      </w:rPr>
      <w:drawing>
        <wp:anchor distT="0" distB="0" distL="114300" distR="114300" simplePos="0" relativeHeight="251671552" behindDoc="1" locked="0" layoutInCell="1" allowOverlap="1">
          <wp:simplePos x="0" y="0"/>
          <wp:positionH relativeFrom="column">
            <wp:posOffset>-668655</wp:posOffset>
          </wp:positionH>
          <wp:positionV relativeFrom="paragraph">
            <wp:posOffset>-170180</wp:posOffset>
          </wp:positionV>
          <wp:extent cx="5584456" cy="441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5590841" cy="442465"/>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themeColor="text1"/>
        </w:rPr>
        <w:id w:val="906577166"/>
        <w:docPartObj>
          <w:docPartGallery w:val="Page Numbers (Bottom of Page)"/>
          <w:docPartUnique/>
        </w:docPartObj>
      </w:sdtPr>
      <w:sdtEndPr>
        <w:rPr>
          <w:rFonts w:ascii="Trebuchet MS" w:hAnsi="Trebuchet MS"/>
          <w:b/>
          <w:bCs/>
          <w:noProof/>
        </w:rPr>
      </w:sdtEndPr>
      <w:sdtContent>
        <w:r>
          <w:rPr>
            <w:rFonts w:ascii="Trebuchet MS" w:hAnsi="Trebuchet MS"/>
            <w:b/>
            <w:bCs/>
            <w:color w:val="000000" w:themeColor="text1"/>
          </w:rPr>
          <w:fldChar w:fldCharType="begin"/>
        </w:r>
        <w:r>
          <w:rPr>
            <w:rFonts w:ascii="Trebuchet MS" w:hAnsi="Trebuchet MS"/>
            <w:b/>
            <w:bCs/>
            <w:color w:val="000000" w:themeColor="text1"/>
          </w:rPr>
          <w:instrText xml:space="preserve"> PAGE   \* MERGEFORMAT </w:instrText>
        </w:r>
        <w:r>
          <w:rPr>
            <w:rFonts w:ascii="Trebuchet MS" w:hAnsi="Trebuchet MS"/>
            <w:b/>
            <w:bCs/>
            <w:color w:val="000000" w:themeColor="text1"/>
          </w:rPr>
          <w:fldChar w:fldCharType="separate"/>
        </w:r>
        <w:r>
          <w:rPr>
            <w:rFonts w:ascii="Trebuchet MS" w:hAnsi="Trebuchet MS"/>
            <w:b/>
            <w:bCs/>
            <w:noProof/>
            <w:color w:val="000000" w:themeColor="text1"/>
          </w:rPr>
          <w:t>3</w:t>
        </w:r>
        <w:r>
          <w:rPr>
            <w:rFonts w:ascii="Trebuchet MS" w:hAnsi="Trebuchet MS"/>
            <w:b/>
            <w:bCs/>
            <w:noProof/>
            <w:color w:val="000000" w:themeColor="text1"/>
          </w:rPr>
          <w:fldChar w:fldCharType="end"/>
        </w:r>
      </w:sdtContent>
    </w:sdt>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ID" w:eastAsia="en-ID"/>
      </w:rPr>
      <w:drawing>
        <wp:anchor distT="0" distB="0" distL="114300" distR="114300" simplePos="0" relativeHeight="251674624" behindDoc="0" locked="0" layoutInCell="1" allowOverlap="1">
          <wp:simplePos x="0" y="0"/>
          <wp:positionH relativeFrom="page">
            <wp:posOffset>-8890</wp:posOffset>
          </wp:positionH>
          <wp:positionV relativeFrom="paragraph">
            <wp:posOffset>-278765</wp:posOffset>
          </wp:positionV>
          <wp:extent cx="5367131" cy="504825"/>
          <wp:effectExtent l="0" t="0" r="5080" b="0"/>
          <wp:wrapNone/>
          <wp:docPr id="74"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b="93298"/>
                  <a:stretch/>
                </pic:blipFill>
                <pic:spPr bwMode="auto">
                  <a:xfrm flipH="1">
                    <a:off x="0" y="0"/>
                    <a:ext cx="5367131"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513"/>
        <w:tab w:val="clear" w:pos="9026"/>
        <w:tab w:val="left" w:pos="1588"/>
      </w:tabs>
    </w:pPr>
    <w:r>
      <w:rPr>
        <w:noProof/>
        <w:lang w:val="en-ID" w:eastAsia="en-ID"/>
      </w:rPr>
      <w:drawing>
        <wp:anchor distT="0" distB="0" distL="114300" distR="114300" simplePos="0" relativeHeight="251664384" behindDoc="0" locked="0" layoutInCell="1" allowOverlap="1">
          <wp:simplePos x="0" y="0"/>
          <wp:positionH relativeFrom="page">
            <wp:align>right</wp:align>
          </wp:positionH>
          <wp:positionV relativeFrom="paragraph">
            <wp:posOffset>-294630</wp:posOffset>
          </wp:positionV>
          <wp:extent cx="5367131" cy="50482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b="93298"/>
                  <a:stretch/>
                </pic:blipFill>
                <pic:spPr bwMode="auto">
                  <a:xfrm>
                    <a:off x="0" y="0"/>
                    <a:ext cx="5367131"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noProof/>
      </w:rPr>
    </w:pPr>
    <w:r>
      <w:rPr>
        <w:noProof/>
        <w:lang w:val="en-ID" w:eastAsia="en-ID"/>
      </w:rPr>
      <w:drawing>
        <wp:anchor distT="0" distB="0" distL="114300" distR="114300" simplePos="0" relativeHeight="251665408" behindDoc="0" locked="0" layoutInCell="1" allowOverlap="1">
          <wp:simplePos x="0" y="0"/>
          <wp:positionH relativeFrom="column">
            <wp:posOffset>-557530</wp:posOffset>
          </wp:positionH>
          <wp:positionV relativeFrom="paragraph">
            <wp:posOffset>-212726</wp:posOffset>
          </wp:positionV>
          <wp:extent cx="5330431" cy="521293"/>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
                    <a:extLst>
                      <a:ext uri="{28A0092B-C50C-407E-A947-70E740481C1C}">
                        <a14:useLocalDpi xmlns:a14="http://schemas.microsoft.com/office/drawing/2010/main" val="0"/>
                      </a:ext>
                    </a:extLst>
                  </a:blip>
                  <a:srcRect b="93031"/>
                  <a:stretch/>
                </pic:blipFill>
                <pic:spPr bwMode="auto">
                  <a:xfrm>
                    <a:off x="0" y="0"/>
                    <a:ext cx="5471272" cy="535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513"/>
        <w:tab w:val="clear" w:pos="9026"/>
        <w:tab w:val="left" w:pos="1588"/>
      </w:tabs>
    </w:pPr>
    <w:r>
      <w:rPr>
        <w:noProof/>
        <w:lang w:val="en-ID" w:eastAsia="en-ID"/>
      </w:rPr>
      <w:drawing>
        <wp:anchor distT="0" distB="0" distL="114300" distR="114300" simplePos="0" relativeHeight="251667456" behindDoc="0" locked="0" layoutInCell="1" allowOverlap="1">
          <wp:simplePos x="0" y="0"/>
          <wp:positionH relativeFrom="column">
            <wp:posOffset>-668655</wp:posOffset>
          </wp:positionH>
          <wp:positionV relativeFrom="paragraph">
            <wp:posOffset>-222250</wp:posOffset>
          </wp:positionV>
          <wp:extent cx="5365596" cy="499745"/>
          <wp:effectExtent l="0" t="0" r="698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
                    <a:extLst>
                      <a:ext uri="{28A0092B-C50C-407E-A947-70E740481C1C}">
                        <a14:useLocalDpi xmlns:a14="http://schemas.microsoft.com/office/drawing/2010/main" val="0"/>
                      </a:ext>
                    </a:extLst>
                  </a:blip>
                  <a:srcRect b="93363"/>
                  <a:stretch/>
                </pic:blipFill>
                <pic:spPr bwMode="auto">
                  <a:xfrm flipH="1">
                    <a:off x="0" y="0"/>
                    <a:ext cx="5365596" cy="4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71271"/>
    <w:multiLevelType w:val="hybridMultilevel"/>
    <w:tmpl w:val="430CA1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A85785D"/>
    <w:multiLevelType w:val="multilevel"/>
    <w:tmpl w:val="692C146A"/>
    <w:lvl w:ilvl="0">
      <w:start w:val="2"/>
      <w:numFmt w:val="decimal"/>
      <w:lvlText w:val="%1."/>
      <w:lvlJc w:val="left"/>
      <w:pPr>
        <w:ind w:left="360" w:hanging="360"/>
      </w:pPr>
      <w:rPr>
        <w:rFonts w:hint="default"/>
        <w:color w:val="000000"/>
      </w:rPr>
    </w:lvl>
    <w:lvl w:ilvl="1">
      <w:start w:val="1"/>
      <w:numFmt w:val="decimal"/>
      <w:lvlText w:val="2.%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nsid w:val="2D997E3B"/>
    <w:multiLevelType w:val="multilevel"/>
    <w:tmpl w:val="70D2AA0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3">
    <w:nsid w:val="308D4E07"/>
    <w:multiLevelType w:val="multilevel"/>
    <w:tmpl w:val="07FA6352"/>
    <w:lvl w:ilvl="0">
      <w:start w:val="7"/>
      <w:numFmt w:val="decimal"/>
      <w:lvlText w:val="%1"/>
      <w:lvlJc w:val="left"/>
      <w:pPr>
        <w:ind w:left="360" w:hanging="360"/>
      </w:pPr>
      <w:rPr>
        <w:rFonts w:hint="default"/>
      </w:rPr>
    </w:lvl>
    <w:lvl w:ilvl="1">
      <w:start w:val="3"/>
      <w:numFmt w:val="decimal"/>
      <w:lvlText w:val="%1.%2"/>
      <w:lvlJc w:val="left"/>
      <w:pPr>
        <w:ind w:left="862" w:hanging="360"/>
      </w:pPr>
      <w:rPr>
        <w:rFonts w:asciiTheme="minorHAnsi" w:hAnsiTheme="minorHAnsi" w:cstheme="minorHAnsi"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4">
    <w:nsid w:val="33B30DD6"/>
    <w:multiLevelType w:val="multilevel"/>
    <w:tmpl w:val="0510A37E"/>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nsid w:val="405E140E"/>
    <w:multiLevelType w:val="hybridMultilevel"/>
    <w:tmpl w:val="C58C0E00"/>
    <w:lvl w:ilvl="0" w:tplc="BF4AE97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4102201E"/>
    <w:multiLevelType w:val="multilevel"/>
    <w:tmpl w:val="9474BFF6"/>
    <w:lvl w:ilvl="0">
      <w:start w:val="2"/>
      <w:numFmt w:val="decimal"/>
      <w:lvlText w:val="%1"/>
      <w:lvlJc w:val="left"/>
      <w:pPr>
        <w:ind w:left="360" w:hanging="360"/>
      </w:pPr>
      <w:rPr>
        <w:rFonts w:hint="default"/>
        <w:color w:val="000000"/>
      </w:rPr>
    </w:lvl>
    <w:lvl w:ilvl="1">
      <w:start w:val="1"/>
      <w:numFmt w:val="decimal"/>
      <w:lvlText w:val="%1.%2"/>
      <w:lvlJc w:val="left"/>
      <w:pPr>
        <w:ind w:left="450" w:hanging="360"/>
      </w:pPr>
      <w:rPr>
        <w:rFonts w:hint="default"/>
        <w:b/>
        <w:bCs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7">
    <w:nsid w:val="42782773"/>
    <w:multiLevelType w:val="hybridMultilevel"/>
    <w:tmpl w:val="41A83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B41ED5"/>
    <w:multiLevelType w:val="multilevel"/>
    <w:tmpl w:val="6CD82CE6"/>
    <w:lvl w:ilvl="0">
      <w:start w:val="1"/>
      <w:numFmt w:val="decimal"/>
      <w:lvlText w:val="%1."/>
      <w:lvlJc w:val="left"/>
      <w:pPr>
        <w:ind w:left="720" w:hanging="360"/>
      </w:pPr>
    </w:lvl>
    <w:lvl w:ilvl="1">
      <w:start w:val="1"/>
      <w:numFmt w:val="decimal"/>
      <w:isLgl/>
      <w:lvlText w:val="%1.%2"/>
      <w:lvlJc w:val="left"/>
      <w:pPr>
        <w:ind w:left="768" w:hanging="408"/>
      </w:pPr>
      <w:rPr>
        <w:rFonts w:asciiTheme="minorHAnsi" w:hAnsiTheme="minorHAnsi" w:cstheme="minorHAns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4FB01D5"/>
    <w:multiLevelType w:val="multilevel"/>
    <w:tmpl w:val="CC6254F8"/>
    <w:lvl w:ilvl="0">
      <w:start w:val="2"/>
      <w:numFmt w:val="decimal"/>
      <w:lvlText w:val="%1"/>
      <w:lvlJc w:val="left"/>
      <w:pPr>
        <w:ind w:left="360" w:hanging="360"/>
      </w:pPr>
      <w:rPr>
        <w:rFonts w:hint="default"/>
        <w:color w:val="000000"/>
      </w:rPr>
    </w:lvl>
    <w:lvl w:ilvl="1">
      <w:start w:val="1"/>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10">
    <w:nsid w:val="519C1642"/>
    <w:multiLevelType w:val="hybridMultilevel"/>
    <w:tmpl w:val="EE7E09EA"/>
    <w:lvl w:ilvl="0" w:tplc="A3102084">
      <w:numFmt w:val="bullet"/>
      <w:lvlText w:val="-"/>
      <w:lvlJc w:val="left"/>
      <w:pPr>
        <w:ind w:left="2625" w:hanging="360"/>
      </w:pPr>
      <w:rPr>
        <w:rFonts w:ascii="Calibri" w:eastAsiaTheme="minorHAnsi" w:hAnsi="Calibri" w:cs="Calibri" w:hint="default"/>
      </w:rPr>
    </w:lvl>
    <w:lvl w:ilvl="1" w:tplc="38090003" w:tentative="1">
      <w:start w:val="1"/>
      <w:numFmt w:val="bullet"/>
      <w:lvlText w:val="o"/>
      <w:lvlJc w:val="left"/>
      <w:pPr>
        <w:ind w:left="3345" w:hanging="360"/>
      </w:pPr>
      <w:rPr>
        <w:rFonts w:ascii="Courier New" w:hAnsi="Courier New" w:cs="Courier New" w:hint="default"/>
      </w:rPr>
    </w:lvl>
    <w:lvl w:ilvl="2" w:tplc="38090005" w:tentative="1">
      <w:start w:val="1"/>
      <w:numFmt w:val="bullet"/>
      <w:lvlText w:val=""/>
      <w:lvlJc w:val="left"/>
      <w:pPr>
        <w:ind w:left="4065" w:hanging="360"/>
      </w:pPr>
      <w:rPr>
        <w:rFonts w:ascii="Wingdings" w:hAnsi="Wingdings" w:hint="default"/>
      </w:rPr>
    </w:lvl>
    <w:lvl w:ilvl="3" w:tplc="38090001" w:tentative="1">
      <w:start w:val="1"/>
      <w:numFmt w:val="bullet"/>
      <w:lvlText w:val=""/>
      <w:lvlJc w:val="left"/>
      <w:pPr>
        <w:ind w:left="4785" w:hanging="360"/>
      </w:pPr>
      <w:rPr>
        <w:rFonts w:ascii="Symbol" w:hAnsi="Symbol" w:hint="default"/>
      </w:rPr>
    </w:lvl>
    <w:lvl w:ilvl="4" w:tplc="38090003" w:tentative="1">
      <w:start w:val="1"/>
      <w:numFmt w:val="bullet"/>
      <w:lvlText w:val="o"/>
      <w:lvlJc w:val="left"/>
      <w:pPr>
        <w:ind w:left="5505" w:hanging="360"/>
      </w:pPr>
      <w:rPr>
        <w:rFonts w:ascii="Courier New" w:hAnsi="Courier New" w:cs="Courier New" w:hint="default"/>
      </w:rPr>
    </w:lvl>
    <w:lvl w:ilvl="5" w:tplc="38090005" w:tentative="1">
      <w:start w:val="1"/>
      <w:numFmt w:val="bullet"/>
      <w:lvlText w:val=""/>
      <w:lvlJc w:val="left"/>
      <w:pPr>
        <w:ind w:left="6225" w:hanging="360"/>
      </w:pPr>
      <w:rPr>
        <w:rFonts w:ascii="Wingdings" w:hAnsi="Wingdings" w:hint="default"/>
      </w:rPr>
    </w:lvl>
    <w:lvl w:ilvl="6" w:tplc="38090001" w:tentative="1">
      <w:start w:val="1"/>
      <w:numFmt w:val="bullet"/>
      <w:lvlText w:val=""/>
      <w:lvlJc w:val="left"/>
      <w:pPr>
        <w:ind w:left="6945" w:hanging="360"/>
      </w:pPr>
      <w:rPr>
        <w:rFonts w:ascii="Symbol" w:hAnsi="Symbol" w:hint="default"/>
      </w:rPr>
    </w:lvl>
    <w:lvl w:ilvl="7" w:tplc="38090003" w:tentative="1">
      <w:start w:val="1"/>
      <w:numFmt w:val="bullet"/>
      <w:lvlText w:val="o"/>
      <w:lvlJc w:val="left"/>
      <w:pPr>
        <w:ind w:left="7665" w:hanging="360"/>
      </w:pPr>
      <w:rPr>
        <w:rFonts w:ascii="Courier New" w:hAnsi="Courier New" w:cs="Courier New" w:hint="default"/>
      </w:rPr>
    </w:lvl>
    <w:lvl w:ilvl="8" w:tplc="38090005" w:tentative="1">
      <w:start w:val="1"/>
      <w:numFmt w:val="bullet"/>
      <w:lvlText w:val=""/>
      <w:lvlJc w:val="left"/>
      <w:pPr>
        <w:ind w:left="8385" w:hanging="360"/>
      </w:pPr>
      <w:rPr>
        <w:rFonts w:ascii="Wingdings" w:hAnsi="Wingdings" w:hint="default"/>
      </w:rPr>
    </w:lvl>
  </w:abstractNum>
  <w:abstractNum w:abstractNumId="11">
    <w:nsid w:val="55A5656D"/>
    <w:multiLevelType w:val="multilevel"/>
    <w:tmpl w:val="B870341E"/>
    <w:lvl w:ilvl="0">
      <w:start w:val="2"/>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2">
    <w:nsid w:val="615971AD"/>
    <w:multiLevelType w:val="multilevel"/>
    <w:tmpl w:val="0194CD64"/>
    <w:lvl w:ilvl="0">
      <w:start w:val="6"/>
      <w:numFmt w:val="decimal"/>
      <w:lvlText w:val="%1."/>
      <w:lvlJc w:val="left"/>
      <w:pPr>
        <w:ind w:left="720" w:hanging="360"/>
      </w:pPr>
      <w:rPr>
        <w:rFonts w:hint="default"/>
      </w:rPr>
    </w:lvl>
    <w:lvl w:ilvl="1">
      <w:start w:val="1"/>
      <w:numFmt w:val="none"/>
      <w:lvlText w:val="6.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2964D97"/>
    <w:multiLevelType w:val="hybridMultilevel"/>
    <w:tmpl w:val="B70A6A64"/>
    <w:lvl w:ilvl="0" w:tplc="F8E62B84">
      <w:start w:val="2"/>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40E2675"/>
    <w:multiLevelType w:val="hybridMultilevel"/>
    <w:tmpl w:val="4B149484"/>
    <w:lvl w:ilvl="0" w:tplc="3634C798">
      <w:start w:val="1"/>
      <w:numFmt w:val="decimal"/>
      <w:lvlText w:val="%1."/>
      <w:lvlJc w:val="left"/>
      <w:pPr>
        <w:ind w:left="720" w:hanging="360"/>
      </w:pPr>
      <w:rPr>
        <w:rFonts w:asciiTheme="minorHAnsi" w:eastAsia="Times New Roman" w:hAnsiTheme="minorHAnsi" w:cs="Arial"/>
      </w:rPr>
    </w:lvl>
    <w:lvl w:ilvl="1" w:tplc="114CF06C" w:tentative="1">
      <w:start w:val="1"/>
      <w:numFmt w:val="bullet"/>
      <w:lvlText w:val="o"/>
      <w:lvlJc w:val="left"/>
      <w:pPr>
        <w:ind w:left="1440" w:hanging="360"/>
      </w:pPr>
      <w:rPr>
        <w:rFonts w:ascii="Courier New" w:hAnsi="Courier New" w:cs="Courier New" w:hint="default"/>
      </w:rPr>
    </w:lvl>
    <w:lvl w:ilvl="2" w:tplc="1694A456" w:tentative="1">
      <w:start w:val="1"/>
      <w:numFmt w:val="bullet"/>
      <w:lvlText w:val=""/>
      <w:lvlJc w:val="left"/>
      <w:pPr>
        <w:ind w:left="2160" w:hanging="360"/>
      </w:pPr>
      <w:rPr>
        <w:rFonts w:ascii="Wingdings" w:hAnsi="Wingdings" w:hint="default"/>
      </w:rPr>
    </w:lvl>
    <w:lvl w:ilvl="3" w:tplc="EEB40EEE" w:tentative="1">
      <w:start w:val="1"/>
      <w:numFmt w:val="bullet"/>
      <w:lvlText w:val=""/>
      <w:lvlJc w:val="left"/>
      <w:pPr>
        <w:ind w:left="2880" w:hanging="360"/>
      </w:pPr>
      <w:rPr>
        <w:rFonts w:ascii="Symbol" w:hAnsi="Symbol" w:hint="default"/>
      </w:rPr>
    </w:lvl>
    <w:lvl w:ilvl="4" w:tplc="051206A8" w:tentative="1">
      <w:start w:val="1"/>
      <w:numFmt w:val="bullet"/>
      <w:lvlText w:val="o"/>
      <w:lvlJc w:val="left"/>
      <w:pPr>
        <w:ind w:left="3600" w:hanging="360"/>
      </w:pPr>
      <w:rPr>
        <w:rFonts w:ascii="Courier New" w:hAnsi="Courier New" w:cs="Courier New" w:hint="default"/>
      </w:rPr>
    </w:lvl>
    <w:lvl w:ilvl="5" w:tplc="DA8CADB8" w:tentative="1">
      <w:start w:val="1"/>
      <w:numFmt w:val="bullet"/>
      <w:lvlText w:val=""/>
      <w:lvlJc w:val="left"/>
      <w:pPr>
        <w:ind w:left="4320" w:hanging="360"/>
      </w:pPr>
      <w:rPr>
        <w:rFonts w:ascii="Wingdings" w:hAnsi="Wingdings" w:hint="default"/>
      </w:rPr>
    </w:lvl>
    <w:lvl w:ilvl="6" w:tplc="E29C0B42" w:tentative="1">
      <w:start w:val="1"/>
      <w:numFmt w:val="bullet"/>
      <w:lvlText w:val=""/>
      <w:lvlJc w:val="left"/>
      <w:pPr>
        <w:ind w:left="5040" w:hanging="360"/>
      </w:pPr>
      <w:rPr>
        <w:rFonts w:ascii="Symbol" w:hAnsi="Symbol" w:hint="default"/>
      </w:rPr>
    </w:lvl>
    <w:lvl w:ilvl="7" w:tplc="66E0FCA4" w:tentative="1">
      <w:start w:val="1"/>
      <w:numFmt w:val="bullet"/>
      <w:lvlText w:val="o"/>
      <w:lvlJc w:val="left"/>
      <w:pPr>
        <w:ind w:left="5760" w:hanging="360"/>
      </w:pPr>
      <w:rPr>
        <w:rFonts w:ascii="Courier New" w:hAnsi="Courier New" w:cs="Courier New" w:hint="default"/>
      </w:rPr>
    </w:lvl>
    <w:lvl w:ilvl="8" w:tplc="B7224694" w:tentative="1">
      <w:start w:val="1"/>
      <w:numFmt w:val="bullet"/>
      <w:lvlText w:val=""/>
      <w:lvlJc w:val="left"/>
      <w:pPr>
        <w:ind w:left="6480" w:hanging="360"/>
      </w:pPr>
      <w:rPr>
        <w:rFonts w:ascii="Wingdings" w:hAnsi="Wingdings" w:hint="default"/>
      </w:rPr>
    </w:lvl>
  </w:abstractNum>
  <w:abstractNum w:abstractNumId="15">
    <w:nsid w:val="664C39F5"/>
    <w:multiLevelType w:val="hybridMultilevel"/>
    <w:tmpl w:val="66C4D176"/>
    <w:lvl w:ilvl="0" w:tplc="B3E00F8A">
      <w:start w:val="1"/>
      <w:numFmt w:val="bullet"/>
      <w:lvlText w:val=""/>
      <w:lvlJc w:val="left"/>
      <w:pPr>
        <w:ind w:left="974" w:hanging="360"/>
      </w:pPr>
      <w:rPr>
        <w:rFonts w:ascii="Wingdings" w:hAnsi="Wingdings" w:hint="default"/>
      </w:rPr>
    </w:lvl>
    <w:lvl w:ilvl="1" w:tplc="8FEE2028">
      <w:start w:val="1"/>
      <w:numFmt w:val="bullet"/>
      <w:lvlText w:val="o"/>
      <w:lvlJc w:val="left"/>
      <w:pPr>
        <w:ind w:left="1694" w:hanging="360"/>
      </w:pPr>
      <w:rPr>
        <w:rFonts w:ascii="Courier New" w:hAnsi="Courier New" w:cs="Courier New" w:hint="default"/>
      </w:rPr>
    </w:lvl>
    <w:lvl w:ilvl="2" w:tplc="0BA03FEC">
      <w:start w:val="1"/>
      <w:numFmt w:val="bullet"/>
      <w:lvlText w:val=""/>
      <w:lvlJc w:val="left"/>
      <w:pPr>
        <w:ind w:left="2414" w:hanging="360"/>
      </w:pPr>
      <w:rPr>
        <w:rFonts w:ascii="Wingdings" w:hAnsi="Wingdings" w:hint="default"/>
      </w:rPr>
    </w:lvl>
    <w:lvl w:ilvl="3" w:tplc="C9C65D90">
      <w:start w:val="1"/>
      <w:numFmt w:val="bullet"/>
      <w:lvlText w:val=""/>
      <w:lvlJc w:val="left"/>
      <w:pPr>
        <w:ind w:left="3134" w:hanging="360"/>
      </w:pPr>
      <w:rPr>
        <w:rFonts w:ascii="Symbol" w:hAnsi="Symbol" w:hint="default"/>
      </w:rPr>
    </w:lvl>
    <w:lvl w:ilvl="4" w:tplc="C5AAC1D8">
      <w:start w:val="1"/>
      <w:numFmt w:val="bullet"/>
      <w:lvlText w:val="o"/>
      <w:lvlJc w:val="left"/>
      <w:pPr>
        <w:ind w:left="3854" w:hanging="360"/>
      </w:pPr>
      <w:rPr>
        <w:rFonts w:ascii="Courier New" w:hAnsi="Courier New" w:cs="Courier New" w:hint="default"/>
      </w:rPr>
    </w:lvl>
    <w:lvl w:ilvl="5" w:tplc="369EDC92">
      <w:start w:val="1"/>
      <w:numFmt w:val="bullet"/>
      <w:lvlText w:val=""/>
      <w:lvlJc w:val="left"/>
      <w:pPr>
        <w:ind w:left="4574" w:hanging="360"/>
      </w:pPr>
      <w:rPr>
        <w:rFonts w:ascii="Wingdings" w:hAnsi="Wingdings" w:hint="default"/>
      </w:rPr>
    </w:lvl>
    <w:lvl w:ilvl="6" w:tplc="622E052C">
      <w:start w:val="1"/>
      <w:numFmt w:val="bullet"/>
      <w:lvlText w:val=""/>
      <w:lvlJc w:val="left"/>
      <w:pPr>
        <w:ind w:left="5294" w:hanging="360"/>
      </w:pPr>
      <w:rPr>
        <w:rFonts w:ascii="Symbol" w:hAnsi="Symbol" w:hint="default"/>
      </w:rPr>
    </w:lvl>
    <w:lvl w:ilvl="7" w:tplc="AE4037D0">
      <w:start w:val="1"/>
      <w:numFmt w:val="bullet"/>
      <w:lvlText w:val="o"/>
      <w:lvlJc w:val="left"/>
      <w:pPr>
        <w:ind w:left="6014" w:hanging="360"/>
      </w:pPr>
      <w:rPr>
        <w:rFonts w:ascii="Courier New" w:hAnsi="Courier New" w:cs="Courier New" w:hint="default"/>
      </w:rPr>
    </w:lvl>
    <w:lvl w:ilvl="8" w:tplc="A1C452B8">
      <w:start w:val="1"/>
      <w:numFmt w:val="bullet"/>
      <w:lvlText w:val=""/>
      <w:lvlJc w:val="left"/>
      <w:pPr>
        <w:ind w:left="6734" w:hanging="360"/>
      </w:pPr>
      <w:rPr>
        <w:rFonts w:ascii="Wingdings" w:hAnsi="Wingdings" w:hint="default"/>
      </w:rPr>
    </w:lvl>
  </w:abstractNum>
  <w:abstractNum w:abstractNumId="16">
    <w:nsid w:val="6DEE0E7E"/>
    <w:multiLevelType w:val="multilevel"/>
    <w:tmpl w:val="18C6E58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55D4ECA"/>
    <w:multiLevelType w:val="hybridMultilevel"/>
    <w:tmpl w:val="E0C0CAD2"/>
    <w:lvl w:ilvl="0" w:tplc="EB4C5D3E">
      <w:start w:val="1"/>
      <w:numFmt w:val="bullet"/>
      <w:lvlText w:val=""/>
      <w:lvlJc w:val="left"/>
      <w:pPr>
        <w:ind w:left="720" w:hanging="360"/>
      </w:pPr>
      <w:rPr>
        <w:rFonts w:ascii="Wingdings" w:hAnsi="Wingdings" w:hint="default"/>
      </w:rPr>
    </w:lvl>
    <w:lvl w:ilvl="1" w:tplc="9A4AA3F2" w:tentative="1">
      <w:start w:val="1"/>
      <w:numFmt w:val="bullet"/>
      <w:lvlText w:val="o"/>
      <w:lvlJc w:val="left"/>
      <w:pPr>
        <w:ind w:left="1440" w:hanging="360"/>
      </w:pPr>
      <w:rPr>
        <w:rFonts w:ascii="Courier New" w:hAnsi="Courier New" w:cs="Courier New" w:hint="default"/>
      </w:rPr>
    </w:lvl>
    <w:lvl w:ilvl="2" w:tplc="F920C970" w:tentative="1">
      <w:start w:val="1"/>
      <w:numFmt w:val="bullet"/>
      <w:lvlText w:val=""/>
      <w:lvlJc w:val="left"/>
      <w:pPr>
        <w:ind w:left="2160" w:hanging="360"/>
      </w:pPr>
      <w:rPr>
        <w:rFonts w:ascii="Wingdings" w:hAnsi="Wingdings" w:hint="default"/>
      </w:rPr>
    </w:lvl>
    <w:lvl w:ilvl="3" w:tplc="558654F4" w:tentative="1">
      <w:start w:val="1"/>
      <w:numFmt w:val="bullet"/>
      <w:lvlText w:val=""/>
      <w:lvlJc w:val="left"/>
      <w:pPr>
        <w:ind w:left="2880" w:hanging="360"/>
      </w:pPr>
      <w:rPr>
        <w:rFonts w:ascii="Symbol" w:hAnsi="Symbol" w:hint="default"/>
      </w:rPr>
    </w:lvl>
    <w:lvl w:ilvl="4" w:tplc="B04839C6" w:tentative="1">
      <w:start w:val="1"/>
      <w:numFmt w:val="bullet"/>
      <w:lvlText w:val="o"/>
      <w:lvlJc w:val="left"/>
      <w:pPr>
        <w:ind w:left="3600" w:hanging="360"/>
      </w:pPr>
      <w:rPr>
        <w:rFonts w:ascii="Courier New" w:hAnsi="Courier New" w:cs="Courier New" w:hint="default"/>
      </w:rPr>
    </w:lvl>
    <w:lvl w:ilvl="5" w:tplc="DFBE3752" w:tentative="1">
      <w:start w:val="1"/>
      <w:numFmt w:val="bullet"/>
      <w:lvlText w:val=""/>
      <w:lvlJc w:val="left"/>
      <w:pPr>
        <w:ind w:left="4320" w:hanging="360"/>
      </w:pPr>
      <w:rPr>
        <w:rFonts w:ascii="Wingdings" w:hAnsi="Wingdings" w:hint="default"/>
      </w:rPr>
    </w:lvl>
    <w:lvl w:ilvl="6" w:tplc="903A71CE" w:tentative="1">
      <w:start w:val="1"/>
      <w:numFmt w:val="bullet"/>
      <w:lvlText w:val=""/>
      <w:lvlJc w:val="left"/>
      <w:pPr>
        <w:ind w:left="5040" w:hanging="360"/>
      </w:pPr>
      <w:rPr>
        <w:rFonts w:ascii="Symbol" w:hAnsi="Symbol" w:hint="default"/>
      </w:rPr>
    </w:lvl>
    <w:lvl w:ilvl="7" w:tplc="50040E14" w:tentative="1">
      <w:start w:val="1"/>
      <w:numFmt w:val="bullet"/>
      <w:lvlText w:val="o"/>
      <w:lvlJc w:val="left"/>
      <w:pPr>
        <w:ind w:left="5760" w:hanging="360"/>
      </w:pPr>
      <w:rPr>
        <w:rFonts w:ascii="Courier New" w:hAnsi="Courier New" w:cs="Courier New" w:hint="default"/>
      </w:rPr>
    </w:lvl>
    <w:lvl w:ilvl="8" w:tplc="69BCD44E" w:tentative="1">
      <w:start w:val="1"/>
      <w:numFmt w:val="bullet"/>
      <w:lvlText w:val=""/>
      <w:lvlJc w:val="left"/>
      <w:pPr>
        <w:ind w:left="6480" w:hanging="360"/>
      </w:pPr>
      <w:rPr>
        <w:rFonts w:ascii="Wingdings" w:hAnsi="Wingdings" w:hint="default"/>
      </w:rPr>
    </w:lvl>
  </w:abstractNum>
  <w:abstractNum w:abstractNumId="18">
    <w:nsid w:val="7AEF7C2F"/>
    <w:multiLevelType w:val="multilevel"/>
    <w:tmpl w:val="CE2887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E1E2633"/>
    <w:multiLevelType w:val="hybridMultilevel"/>
    <w:tmpl w:val="591621DE"/>
    <w:lvl w:ilvl="0" w:tplc="F10CE310">
      <w:start w:val="7"/>
      <w:numFmt w:val="decimal"/>
      <w:pStyle w:val="Heading2"/>
      <w:lvlText w:val="%1."/>
      <w:lvlJc w:val="left"/>
      <w:pPr>
        <w:ind w:left="502"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16"/>
  </w:num>
  <w:num w:numId="2">
    <w:abstractNumId w:val="2"/>
  </w:num>
  <w:num w:numId="3">
    <w:abstractNumId w:val="11"/>
  </w:num>
  <w:num w:numId="4">
    <w:abstractNumId w:val="13"/>
  </w:num>
  <w:num w:numId="5">
    <w:abstractNumId w:val="9"/>
  </w:num>
  <w:num w:numId="6">
    <w:abstractNumId w:val="1"/>
  </w:num>
  <w:num w:numId="7">
    <w:abstractNumId w:val="7"/>
  </w:num>
  <w:num w:numId="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19"/>
  </w:num>
  <w:num w:numId="12">
    <w:abstractNumId w:val="18"/>
  </w:num>
  <w:num w:numId="13">
    <w:abstractNumId w:val="19"/>
  </w:num>
  <w:num w:numId="14">
    <w:abstractNumId w:val="19"/>
  </w:num>
  <w:num w:numId="15">
    <w:abstractNumId w:val="19"/>
  </w:num>
  <w:num w:numId="16">
    <w:abstractNumId w:val="6"/>
  </w:num>
  <w:num w:numId="17">
    <w:abstractNumId w:val="19"/>
  </w:num>
  <w:num w:numId="18">
    <w:abstractNumId w:val="19"/>
  </w:num>
  <w:num w:numId="19">
    <w:abstractNumId w:val="1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
  </w:num>
  <w:num w:numId="23">
    <w:abstractNumId w:val="14"/>
  </w:num>
  <w:num w:numId="24">
    <w:abstractNumId w:val="15"/>
  </w:num>
  <w:num w:numId="25">
    <w:abstractNumId w:val="12"/>
  </w:num>
  <w:num w:numId="26">
    <w:abstractNumId w:val="1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120"/>
      <w:jc w:val="center"/>
      <w:outlineLvl w:val="0"/>
    </w:pPr>
    <w:rPr>
      <w:rFonts w:ascii="Trebuchet MS" w:eastAsiaTheme="majorEastAsia" w:hAnsi="Trebuchet MS" w:cstheme="majorBidi"/>
      <w:b/>
      <w:sz w:val="44"/>
      <w:szCs w:val="32"/>
    </w:rPr>
  </w:style>
  <w:style w:type="paragraph" w:styleId="Heading2">
    <w:name w:val="heading 2"/>
    <w:link w:val="Heading2Char"/>
    <w:uiPriority w:val="9"/>
    <w:qFormat/>
    <w:pPr>
      <w:numPr>
        <w:numId w:val="11"/>
      </w:numPr>
      <w:spacing w:after="0" w:line="360" w:lineRule="auto"/>
      <w:outlineLvl w:val="1"/>
    </w:pPr>
    <w:rPr>
      <w:rFonts w:ascii="Trebuchet MS" w:eastAsia="Times New Roman" w:hAnsi="Trebuchet MS" w:cs="Times New Roman"/>
      <w:b/>
      <w:color w:val="000000"/>
      <w:kern w:val="28"/>
      <w:szCs w:val="32"/>
      <w:lang w:eastAsia="id-ID"/>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7">
    <w:name w:val="heading 7"/>
    <w:link w:val="Heading7Char"/>
    <w:uiPriority w:val="9"/>
    <w:qFormat/>
    <w:pPr>
      <w:spacing w:after="120" w:line="285" w:lineRule="auto"/>
      <w:outlineLvl w:val="6"/>
    </w:pPr>
    <w:rPr>
      <w:rFonts w:ascii="Cambria" w:eastAsia="Times New Roman" w:hAnsi="Cambria" w:cs="Times New Roman"/>
      <w:color w:val="000000"/>
      <w:kern w:val="28"/>
      <w:sz w:val="28"/>
      <w:szCs w:val="28"/>
      <w:lang w:eastAsia="id-ID"/>
    </w:rPr>
  </w:style>
  <w:style w:type="paragraph" w:styleId="Heading8">
    <w:name w:val="heading 8"/>
    <w:basedOn w:val="Normal"/>
    <w:next w:val="Normal"/>
    <w:link w:val="Heading8Char"/>
    <w:uiPriority w:val="9"/>
    <w:qFormat/>
    <w:pPr>
      <w:spacing w:after="0" w:line="285" w:lineRule="auto"/>
      <w:ind w:left="630"/>
      <w:outlineLvl w:val="7"/>
    </w:pPr>
    <w:rPr>
      <w:rFonts w:ascii="Calibri" w:eastAsia="Times New Roman" w:hAnsi="Calibri" w:cs="Calibri"/>
      <w:b/>
      <w:bCs/>
      <w:color w:val="000000"/>
      <w:kern w:val="2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rebuchet MS" w:eastAsia="Times New Roman" w:hAnsi="Trebuchet MS" w:cs="Times New Roman"/>
      <w:b/>
      <w:color w:val="000000"/>
      <w:kern w:val="28"/>
      <w:szCs w:val="32"/>
      <w:lang w:eastAsia="id-ID"/>
    </w:rPr>
  </w:style>
  <w:style w:type="character" w:customStyle="1" w:styleId="Heading7Char">
    <w:name w:val="Heading 7 Char"/>
    <w:basedOn w:val="DefaultParagraphFont"/>
    <w:link w:val="Heading7"/>
    <w:uiPriority w:val="9"/>
    <w:rPr>
      <w:rFonts w:ascii="Cambria" w:eastAsia="Times New Roman" w:hAnsi="Cambria" w:cs="Times New Roman"/>
      <w:color w:val="000000"/>
      <w:kern w:val="28"/>
      <w:sz w:val="28"/>
      <w:szCs w:val="28"/>
      <w:lang w:eastAsia="id-ID"/>
    </w:rPr>
  </w:style>
  <w:style w:type="character" w:customStyle="1" w:styleId="Heading8Char">
    <w:name w:val="Heading 8 Char"/>
    <w:basedOn w:val="DefaultParagraphFont"/>
    <w:link w:val="Heading8"/>
    <w:uiPriority w:val="9"/>
    <w:rPr>
      <w:rFonts w:ascii="Calibri" w:eastAsia="Times New Roman" w:hAnsi="Calibri" w:cs="Calibri"/>
      <w:b/>
      <w:bCs/>
      <w:color w:val="000000"/>
      <w:kern w:val="28"/>
      <w:lang w:eastAsia="id-ID"/>
    </w:rPr>
  </w:style>
  <w:style w:type="paragraph" w:styleId="BodyText">
    <w:name w:val="Body Text"/>
    <w:link w:val="BodyTextChar"/>
    <w:uiPriority w:val="99"/>
    <w:unhideWhenUsed/>
    <w:pPr>
      <w:spacing w:after="120" w:line="264" w:lineRule="auto"/>
    </w:pPr>
    <w:rPr>
      <w:rFonts w:ascii="Calibri" w:eastAsia="Times New Roman" w:hAnsi="Calibri" w:cs="Calibri"/>
      <w:color w:val="000000"/>
      <w:kern w:val="28"/>
      <w:sz w:val="20"/>
      <w:szCs w:val="20"/>
      <w:lang w:eastAsia="id-ID"/>
    </w:rPr>
  </w:style>
  <w:style w:type="character" w:customStyle="1" w:styleId="BodyTextChar">
    <w:name w:val="Body Text Char"/>
    <w:basedOn w:val="DefaultParagraphFont"/>
    <w:link w:val="BodyText"/>
    <w:uiPriority w:val="99"/>
    <w:rPr>
      <w:rFonts w:ascii="Calibri" w:eastAsia="Times New Roman" w:hAnsi="Calibri" w:cs="Calibri"/>
      <w:color w:val="000000"/>
      <w:kern w:val="28"/>
      <w:sz w:val="20"/>
      <w:szCs w:val="20"/>
      <w:lang w:eastAsia="id-I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rebuchet MS" w:eastAsiaTheme="majorEastAsia" w:hAnsi="Trebuchet MS" w:cstheme="majorBidi"/>
      <w:b/>
      <w:sz w:val="44"/>
      <w:szCs w:val="32"/>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pPr>
      <w:spacing w:after="0" w:line="240" w:lineRule="auto"/>
    </w:pPr>
    <w:tblPr>
      <w:tblInd w:w="0" w:type="dxa"/>
      <w:tblBorders>
        <w:insideH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pPr>
      <w:spacing w:before="240" w:after="0"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pPr>
      <w:tabs>
        <w:tab w:val="right" w:leader="dot" w:pos="6662"/>
      </w:tabs>
      <w:spacing w:after="100"/>
      <w:ind w:left="567"/>
      <w:jc w:val="both"/>
    </w:pPr>
    <w:rPr>
      <w:b/>
      <w:bCs/>
      <w:noProof/>
      <w:lang w:val="en-US" w:eastAsia="id-ID"/>
    </w:rPr>
  </w:style>
  <w:style w:type="paragraph" w:styleId="TOC2">
    <w:name w:val="toc 2"/>
    <w:basedOn w:val="Normal"/>
    <w:next w:val="Normal"/>
    <w:autoRedefine/>
    <w:uiPriority w:val="39"/>
    <w:unhideWhenUsed/>
    <w:pPr>
      <w:tabs>
        <w:tab w:val="right" w:leader="dot" w:pos="6663"/>
      </w:tabs>
      <w:spacing w:after="100"/>
      <w:ind w:left="1134" w:right="-1" w:hanging="567"/>
    </w:p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TableofFigures">
    <w:name w:val="table of figures"/>
    <w:basedOn w:val="Normal"/>
    <w:next w:val="Normal"/>
    <w:uiPriority w:val="99"/>
    <w:unhideWhenUsed/>
    <w:pPr>
      <w:spacing w:after="0"/>
    </w:pPr>
  </w:style>
  <w:style w:type="paragraph" w:styleId="Title">
    <w:name w:val="Title"/>
    <w:basedOn w:val="Normal"/>
    <w:link w:val="TitleChar"/>
    <w:qFormat/>
    <w:pPr>
      <w:spacing w:after="0" w:line="240" w:lineRule="auto"/>
      <w:jc w:val="center"/>
    </w:pPr>
    <w:rPr>
      <w:rFonts w:eastAsia="Times New Roman" w:cs="Times New Roman"/>
      <w:b/>
      <w:sz w:val="24"/>
      <w:szCs w:val="20"/>
      <w:lang w:val="en-US"/>
    </w:rPr>
  </w:style>
  <w:style w:type="character" w:customStyle="1" w:styleId="TitleChar">
    <w:name w:val="Title Char"/>
    <w:basedOn w:val="DefaultParagraphFont"/>
    <w:link w:val="Title"/>
    <w:rPr>
      <w:rFonts w:eastAsia="Times New Roman" w:cs="Times New Roman"/>
      <w:b/>
      <w:sz w:val="24"/>
      <w:szCs w:val="20"/>
      <w:lang w:val="en-US"/>
    </w:rPr>
  </w:style>
  <w:style w:type="paragraph" w:styleId="PlainText">
    <w:name w:val="Plain Text"/>
    <w:basedOn w:val="Normal"/>
    <w:link w:val="PlainTextChar"/>
    <w:uiPriority w:val="99"/>
    <w:pPr>
      <w:spacing w:after="0" w:line="240" w:lineRule="auto"/>
    </w:pPr>
    <w:rPr>
      <w:rFonts w:ascii="Courier New" w:eastAsia="Malgun Gothic" w:hAnsi="Courier New" w:cs="Times New Roman"/>
      <w:sz w:val="20"/>
      <w:szCs w:val="20"/>
      <w:lang w:val="en-US"/>
    </w:rPr>
  </w:style>
  <w:style w:type="character" w:customStyle="1" w:styleId="PlainTextChar">
    <w:name w:val="Plain Text Char"/>
    <w:basedOn w:val="DefaultParagraphFont"/>
    <w:link w:val="PlainText"/>
    <w:uiPriority w:val="99"/>
    <w:rPr>
      <w:rFonts w:ascii="Courier New" w:eastAsia="Malgun Gothic" w:hAnsi="Courier New" w:cs="Times New Roman"/>
      <w:sz w:val="20"/>
      <w:szCs w:val="20"/>
      <w:lang w:val="en-US"/>
    </w:rPr>
  </w:style>
  <w:style w:type="table" w:customStyle="1" w:styleId="ListTable6ColorfulAccent5">
    <w:name w:val="List Table 6 Colorful Accent 5"/>
    <w:basedOn w:val="TableNormal"/>
    <w:uiPriority w:val="51"/>
    <w:pPr>
      <w:spacing w:after="0" w:line="240" w:lineRule="auto"/>
    </w:pPr>
    <w:rPr>
      <w:rFonts w:ascii="Times New Roman" w:eastAsia="Times New Roman" w:hAnsi="Times New Roman" w:cs="Times New Roman"/>
      <w:color w:val="31849B" w:themeColor="accent5" w:themeShade="BF"/>
      <w:sz w:val="20"/>
      <w:szCs w:val="20"/>
      <w:lang w:val="en-US"/>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ormalAldusRoman">
    <w:name w:val="Normal + Aldus Roman"/>
    <w:aliases w:val="11 pt,Line spacing:  Multiple 1,25 li"/>
    <w:basedOn w:val="Normal"/>
    <w:uiPriority w:val="99"/>
    <w:pPr>
      <w:spacing w:after="0" w:line="300" w:lineRule="auto"/>
    </w:pPr>
    <w:rPr>
      <w:rFonts w:ascii="Aldus Roman" w:eastAsia="MS Mincho" w:hAnsi="Aldus Roman" w:cs="Times New Roman"/>
      <w:lang w:val="en-US" w:eastAsia="ja-JP"/>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style>
  <w:style w:type="paragraph" w:styleId="BodyTextIndent2">
    <w:name w:val="Body Text Indent 2"/>
    <w:basedOn w:val="Normal"/>
    <w:link w:val="BodyTextIndent2Char"/>
    <w:uiPriority w:val="99"/>
    <w:unhideWhenUsed/>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4"/>
      <w:szCs w:val="24"/>
      <w:lang w:val="en-US"/>
    </w:r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pPr>
      <w:tabs>
        <w:tab w:val="left" w:pos="1320"/>
        <w:tab w:val="right" w:leader="dot" w:pos="6662"/>
      </w:tabs>
      <w:spacing w:after="100"/>
      <w:ind w:left="1134" w:hanging="567"/>
      <w:jc w:val="both"/>
    </w:pPr>
  </w:style>
  <w:style w:type="paragraph" w:styleId="BodyTextIndent3">
    <w:name w:val="Body Text Indent 3"/>
    <w:basedOn w:val="Normal"/>
    <w:link w:val="BodyTextIndent3Char"/>
    <w:uiPriority w:val="99"/>
    <w:unhideWhenUsed/>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Pr>
      <w:rFonts w:ascii="Times New Roman" w:eastAsia="Times New Roman" w:hAnsi="Times New Roman" w:cs="Times New Roman"/>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120"/>
      <w:jc w:val="center"/>
      <w:outlineLvl w:val="0"/>
    </w:pPr>
    <w:rPr>
      <w:rFonts w:ascii="Trebuchet MS" w:eastAsiaTheme="majorEastAsia" w:hAnsi="Trebuchet MS" w:cstheme="majorBidi"/>
      <w:b/>
      <w:sz w:val="44"/>
      <w:szCs w:val="32"/>
    </w:rPr>
  </w:style>
  <w:style w:type="paragraph" w:styleId="Heading2">
    <w:name w:val="heading 2"/>
    <w:link w:val="Heading2Char"/>
    <w:uiPriority w:val="9"/>
    <w:qFormat/>
    <w:pPr>
      <w:numPr>
        <w:numId w:val="11"/>
      </w:numPr>
      <w:spacing w:after="0" w:line="360" w:lineRule="auto"/>
      <w:outlineLvl w:val="1"/>
    </w:pPr>
    <w:rPr>
      <w:rFonts w:ascii="Trebuchet MS" w:eastAsia="Times New Roman" w:hAnsi="Trebuchet MS" w:cs="Times New Roman"/>
      <w:b/>
      <w:color w:val="000000"/>
      <w:kern w:val="28"/>
      <w:szCs w:val="32"/>
      <w:lang w:eastAsia="id-ID"/>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7">
    <w:name w:val="heading 7"/>
    <w:link w:val="Heading7Char"/>
    <w:uiPriority w:val="9"/>
    <w:qFormat/>
    <w:pPr>
      <w:spacing w:after="120" w:line="285" w:lineRule="auto"/>
      <w:outlineLvl w:val="6"/>
    </w:pPr>
    <w:rPr>
      <w:rFonts w:ascii="Cambria" w:eastAsia="Times New Roman" w:hAnsi="Cambria" w:cs="Times New Roman"/>
      <w:color w:val="000000"/>
      <w:kern w:val="28"/>
      <w:sz w:val="28"/>
      <w:szCs w:val="28"/>
      <w:lang w:eastAsia="id-ID"/>
    </w:rPr>
  </w:style>
  <w:style w:type="paragraph" w:styleId="Heading8">
    <w:name w:val="heading 8"/>
    <w:basedOn w:val="Normal"/>
    <w:next w:val="Normal"/>
    <w:link w:val="Heading8Char"/>
    <w:uiPriority w:val="9"/>
    <w:qFormat/>
    <w:pPr>
      <w:spacing w:after="0" w:line="285" w:lineRule="auto"/>
      <w:ind w:left="630"/>
      <w:outlineLvl w:val="7"/>
    </w:pPr>
    <w:rPr>
      <w:rFonts w:ascii="Calibri" w:eastAsia="Times New Roman" w:hAnsi="Calibri" w:cs="Calibri"/>
      <w:b/>
      <w:bCs/>
      <w:color w:val="000000"/>
      <w:kern w:val="2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rebuchet MS" w:eastAsia="Times New Roman" w:hAnsi="Trebuchet MS" w:cs="Times New Roman"/>
      <w:b/>
      <w:color w:val="000000"/>
      <w:kern w:val="28"/>
      <w:szCs w:val="32"/>
      <w:lang w:eastAsia="id-ID"/>
    </w:rPr>
  </w:style>
  <w:style w:type="character" w:customStyle="1" w:styleId="Heading7Char">
    <w:name w:val="Heading 7 Char"/>
    <w:basedOn w:val="DefaultParagraphFont"/>
    <w:link w:val="Heading7"/>
    <w:uiPriority w:val="9"/>
    <w:rPr>
      <w:rFonts w:ascii="Cambria" w:eastAsia="Times New Roman" w:hAnsi="Cambria" w:cs="Times New Roman"/>
      <w:color w:val="000000"/>
      <w:kern w:val="28"/>
      <w:sz w:val="28"/>
      <w:szCs w:val="28"/>
      <w:lang w:eastAsia="id-ID"/>
    </w:rPr>
  </w:style>
  <w:style w:type="character" w:customStyle="1" w:styleId="Heading8Char">
    <w:name w:val="Heading 8 Char"/>
    <w:basedOn w:val="DefaultParagraphFont"/>
    <w:link w:val="Heading8"/>
    <w:uiPriority w:val="9"/>
    <w:rPr>
      <w:rFonts w:ascii="Calibri" w:eastAsia="Times New Roman" w:hAnsi="Calibri" w:cs="Calibri"/>
      <w:b/>
      <w:bCs/>
      <w:color w:val="000000"/>
      <w:kern w:val="28"/>
      <w:lang w:eastAsia="id-ID"/>
    </w:rPr>
  </w:style>
  <w:style w:type="paragraph" w:styleId="BodyText">
    <w:name w:val="Body Text"/>
    <w:link w:val="BodyTextChar"/>
    <w:uiPriority w:val="99"/>
    <w:unhideWhenUsed/>
    <w:pPr>
      <w:spacing w:after="120" w:line="264" w:lineRule="auto"/>
    </w:pPr>
    <w:rPr>
      <w:rFonts w:ascii="Calibri" w:eastAsia="Times New Roman" w:hAnsi="Calibri" w:cs="Calibri"/>
      <w:color w:val="000000"/>
      <w:kern w:val="28"/>
      <w:sz w:val="20"/>
      <w:szCs w:val="20"/>
      <w:lang w:eastAsia="id-ID"/>
    </w:rPr>
  </w:style>
  <w:style w:type="character" w:customStyle="1" w:styleId="BodyTextChar">
    <w:name w:val="Body Text Char"/>
    <w:basedOn w:val="DefaultParagraphFont"/>
    <w:link w:val="BodyText"/>
    <w:uiPriority w:val="99"/>
    <w:rPr>
      <w:rFonts w:ascii="Calibri" w:eastAsia="Times New Roman" w:hAnsi="Calibri" w:cs="Calibri"/>
      <w:color w:val="000000"/>
      <w:kern w:val="28"/>
      <w:sz w:val="20"/>
      <w:szCs w:val="20"/>
      <w:lang w:eastAsia="id-I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rebuchet MS" w:eastAsiaTheme="majorEastAsia" w:hAnsi="Trebuchet MS" w:cstheme="majorBidi"/>
      <w:b/>
      <w:sz w:val="44"/>
      <w:szCs w:val="32"/>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pPr>
      <w:spacing w:after="0" w:line="240" w:lineRule="auto"/>
    </w:pPr>
    <w:tblPr>
      <w:tblInd w:w="0" w:type="dxa"/>
      <w:tblBorders>
        <w:insideH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pPr>
      <w:spacing w:before="240" w:after="0"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pPr>
      <w:tabs>
        <w:tab w:val="right" w:leader="dot" w:pos="6662"/>
      </w:tabs>
      <w:spacing w:after="100"/>
      <w:ind w:left="567"/>
      <w:jc w:val="both"/>
    </w:pPr>
    <w:rPr>
      <w:b/>
      <w:bCs/>
      <w:noProof/>
      <w:lang w:val="en-US" w:eastAsia="id-ID"/>
    </w:rPr>
  </w:style>
  <w:style w:type="paragraph" w:styleId="TOC2">
    <w:name w:val="toc 2"/>
    <w:basedOn w:val="Normal"/>
    <w:next w:val="Normal"/>
    <w:autoRedefine/>
    <w:uiPriority w:val="39"/>
    <w:unhideWhenUsed/>
    <w:pPr>
      <w:tabs>
        <w:tab w:val="right" w:leader="dot" w:pos="6663"/>
      </w:tabs>
      <w:spacing w:after="100"/>
      <w:ind w:left="1134" w:right="-1" w:hanging="567"/>
    </w:p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TableofFigures">
    <w:name w:val="table of figures"/>
    <w:basedOn w:val="Normal"/>
    <w:next w:val="Normal"/>
    <w:uiPriority w:val="99"/>
    <w:unhideWhenUsed/>
    <w:pPr>
      <w:spacing w:after="0"/>
    </w:pPr>
  </w:style>
  <w:style w:type="paragraph" w:styleId="Title">
    <w:name w:val="Title"/>
    <w:basedOn w:val="Normal"/>
    <w:link w:val="TitleChar"/>
    <w:qFormat/>
    <w:pPr>
      <w:spacing w:after="0" w:line="240" w:lineRule="auto"/>
      <w:jc w:val="center"/>
    </w:pPr>
    <w:rPr>
      <w:rFonts w:eastAsia="Times New Roman" w:cs="Times New Roman"/>
      <w:b/>
      <w:sz w:val="24"/>
      <w:szCs w:val="20"/>
      <w:lang w:val="en-US"/>
    </w:rPr>
  </w:style>
  <w:style w:type="character" w:customStyle="1" w:styleId="TitleChar">
    <w:name w:val="Title Char"/>
    <w:basedOn w:val="DefaultParagraphFont"/>
    <w:link w:val="Title"/>
    <w:rPr>
      <w:rFonts w:eastAsia="Times New Roman" w:cs="Times New Roman"/>
      <w:b/>
      <w:sz w:val="24"/>
      <w:szCs w:val="20"/>
      <w:lang w:val="en-US"/>
    </w:rPr>
  </w:style>
  <w:style w:type="paragraph" w:styleId="PlainText">
    <w:name w:val="Plain Text"/>
    <w:basedOn w:val="Normal"/>
    <w:link w:val="PlainTextChar"/>
    <w:uiPriority w:val="99"/>
    <w:pPr>
      <w:spacing w:after="0" w:line="240" w:lineRule="auto"/>
    </w:pPr>
    <w:rPr>
      <w:rFonts w:ascii="Courier New" w:eastAsia="Malgun Gothic" w:hAnsi="Courier New" w:cs="Times New Roman"/>
      <w:sz w:val="20"/>
      <w:szCs w:val="20"/>
      <w:lang w:val="en-US"/>
    </w:rPr>
  </w:style>
  <w:style w:type="character" w:customStyle="1" w:styleId="PlainTextChar">
    <w:name w:val="Plain Text Char"/>
    <w:basedOn w:val="DefaultParagraphFont"/>
    <w:link w:val="PlainText"/>
    <w:uiPriority w:val="99"/>
    <w:rPr>
      <w:rFonts w:ascii="Courier New" w:eastAsia="Malgun Gothic" w:hAnsi="Courier New" w:cs="Times New Roman"/>
      <w:sz w:val="20"/>
      <w:szCs w:val="20"/>
      <w:lang w:val="en-US"/>
    </w:rPr>
  </w:style>
  <w:style w:type="table" w:customStyle="1" w:styleId="ListTable6ColorfulAccent5">
    <w:name w:val="List Table 6 Colorful Accent 5"/>
    <w:basedOn w:val="TableNormal"/>
    <w:uiPriority w:val="51"/>
    <w:pPr>
      <w:spacing w:after="0" w:line="240" w:lineRule="auto"/>
    </w:pPr>
    <w:rPr>
      <w:rFonts w:ascii="Times New Roman" w:eastAsia="Times New Roman" w:hAnsi="Times New Roman" w:cs="Times New Roman"/>
      <w:color w:val="31849B" w:themeColor="accent5" w:themeShade="BF"/>
      <w:sz w:val="20"/>
      <w:szCs w:val="20"/>
      <w:lang w:val="en-US"/>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ormalAldusRoman">
    <w:name w:val="Normal + Aldus Roman"/>
    <w:aliases w:val="11 pt,Line spacing:  Multiple 1,25 li"/>
    <w:basedOn w:val="Normal"/>
    <w:uiPriority w:val="99"/>
    <w:pPr>
      <w:spacing w:after="0" w:line="300" w:lineRule="auto"/>
    </w:pPr>
    <w:rPr>
      <w:rFonts w:ascii="Aldus Roman" w:eastAsia="MS Mincho" w:hAnsi="Aldus Roman" w:cs="Times New Roman"/>
      <w:lang w:val="en-US" w:eastAsia="ja-JP"/>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style>
  <w:style w:type="paragraph" w:styleId="BodyTextIndent2">
    <w:name w:val="Body Text Indent 2"/>
    <w:basedOn w:val="Normal"/>
    <w:link w:val="BodyTextIndent2Char"/>
    <w:uiPriority w:val="99"/>
    <w:unhideWhenUsed/>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4"/>
      <w:szCs w:val="24"/>
      <w:lang w:val="en-US"/>
    </w:r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pPr>
      <w:tabs>
        <w:tab w:val="left" w:pos="1320"/>
        <w:tab w:val="right" w:leader="dot" w:pos="6662"/>
      </w:tabs>
      <w:spacing w:after="100"/>
      <w:ind w:left="1134" w:hanging="567"/>
      <w:jc w:val="both"/>
    </w:pPr>
  </w:style>
  <w:style w:type="paragraph" w:styleId="BodyTextIndent3">
    <w:name w:val="Body Text Indent 3"/>
    <w:basedOn w:val="Normal"/>
    <w:link w:val="BodyTextIndent3Char"/>
    <w:uiPriority w:val="99"/>
    <w:unhideWhenUsed/>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988">
      <w:bodyDiv w:val="1"/>
      <w:marLeft w:val="0"/>
      <w:marRight w:val="0"/>
      <w:marTop w:val="0"/>
      <w:marBottom w:val="0"/>
      <w:divBdr>
        <w:top w:val="none" w:sz="0" w:space="0" w:color="auto"/>
        <w:left w:val="none" w:sz="0" w:space="0" w:color="auto"/>
        <w:bottom w:val="none" w:sz="0" w:space="0" w:color="auto"/>
        <w:right w:val="none" w:sz="0" w:space="0" w:color="auto"/>
      </w:divBdr>
    </w:div>
    <w:div w:id="8719776">
      <w:bodyDiv w:val="1"/>
      <w:marLeft w:val="0"/>
      <w:marRight w:val="0"/>
      <w:marTop w:val="0"/>
      <w:marBottom w:val="0"/>
      <w:divBdr>
        <w:top w:val="none" w:sz="0" w:space="0" w:color="auto"/>
        <w:left w:val="none" w:sz="0" w:space="0" w:color="auto"/>
        <w:bottom w:val="none" w:sz="0" w:space="0" w:color="auto"/>
        <w:right w:val="none" w:sz="0" w:space="0" w:color="auto"/>
      </w:divBdr>
    </w:div>
    <w:div w:id="10180852">
      <w:bodyDiv w:val="1"/>
      <w:marLeft w:val="0"/>
      <w:marRight w:val="0"/>
      <w:marTop w:val="0"/>
      <w:marBottom w:val="0"/>
      <w:divBdr>
        <w:top w:val="none" w:sz="0" w:space="0" w:color="auto"/>
        <w:left w:val="none" w:sz="0" w:space="0" w:color="auto"/>
        <w:bottom w:val="none" w:sz="0" w:space="0" w:color="auto"/>
        <w:right w:val="none" w:sz="0" w:space="0" w:color="auto"/>
      </w:divBdr>
    </w:div>
    <w:div w:id="13044327">
      <w:bodyDiv w:val="1"/>
      <w:marLeft w:val="0"/>
      <w:marRight w:val="0"/>
      <w:marTop w:val="0"/>
      <w:marBottom w:val="0"/>
      <w:divBdr>
        <w:top w:val="none" w:sz="0" w:space="0" w:color="auto"/>
        <w:left w:val="none" w:sz="0" w:space="0" w:color="auto"/>
        <w:bottom w:val="none" w:sz="0" w:space="0" w:color="auto"/>
        <w:right w:val="none" w:sz="0" w:space="0" w:color="auto"/>
      </w:divBdr>
    </w:div>
    <w:div w:id="15889548">
      <w:bodyDiv w:val="1"/>
      <w:marLeft w:val="0"/>
      <w:marRight w:val="0"/>
      <w:marTop w:val="0"/>
      <w:marBottom w:val="0"/>
      <w:divBdr>
        <w:top w:val="none" w:sz="0" w:space="0" w:color="auto"/>
        <w:left w:val="none" w:sz="0" w:space="0" w:color="auto"/>
        <w:bottom w:val="none" w:sz="0" w:space="0" w:color="auto"/>
        <w:right w:val="none" w:sz="0" w:space="0" w:color="auto"/>
      </w:divBdr>
    </w:div>
    <w:div w:id="17318106">
      <w:bodyDiv w:val="1"/>
      <w:marLeft w:val="0"/>
      <w:marRight w:val="0"/>
      <w:marTop w:val="0"/>
      <w:marBottom w:val="0"/>
      <w:divBdr>
        <w:top w:val="none" w:sz="0" w:space="0" w:color="auto"/>
        <w:left w:val="none" w:sz="0" w:space="0" w:color="auto"/>
        <w:bottom w:val="none" w:sz="0" w:space="0" w:color="auto"/>
        <w:right w:val="none" w:sz="0" w:space="0" w:color="auto"/>
      </w:divBdr>
    </w:div>
    <w:div w:id="28574050">
      <w:bodyDiv w:val="1"/>
      <w:marLeft w:val="0"/>
      <w:marRight w:val="0"/>
      <w:marTop w:val="0"/>
      <w:marBottom w:val="0"/>
      <w:divBdr>
        <w:top w:val="none" w:sz="0" w:space="0" w:color="auto"/>
        <w:left w:val="none" w:sz="0" w:space="0" w:color="auto"/>
        <w:bottom w:val="none" w:sz="0" w:space="0" w:color="auto"/>
        <w:right w:val="none" w:sz="0" w:space="0" w:color="auto"/>
      </w:divBdr>
    </w:div>
    <w:div w:id="32310159">
      <w:bodyDiv w:val="1"/>
      <w:marLeft w:val="0"/>
      <w:marRight w:val="0"/>
      <w:marTop w:val="0"/>
      <w:marBottom w:val="0"/>
      <w:divBdr>
        <w:top w:val="none" w:sz="0" w:space="0" w:color="auto"/>
        <w:left w:val="none" w:sz="0" w:space="0" w:color="auto"/>
        <w:bottom w:val="none" w:sz="0" w:space="0" w:color="auto"/>
        <w:right w:val="none" w:sz="0" w:space="0" w:color="auto"/>
      </w:divBdr>
    </w:div>
    <w:div w:id="38012778">
      <w:bodyDiv w:val="1"/>
      <w:marLeft w:val="0"/>
      <w:marRight w:val="0"/>
      <w:marTop w:val="0"/>
      <w:marBottom w:val="0"/>
      <w:divBdr>
        <w:top w:val="none" w:sz="0" w:space="0" w:color="auto"/>
        <w:left w:val="none" w:sz="0" w:space="0" w:color="auto"/>
        <w:bottom w:val="none" w:sz="0" w:space="0" w:color="auto"/>
        <w:right w:val="none" w:sz="0" w:space="0" w:color="auto"/>
      </w:divBdr>
    </w:div>
    <w:div w:id="51853652">
      <w:bodyDiv w:val="1"/>
      <w:marLeft w:val="0"/>
      <w:marRight w:val="0"/>
      <w:marTop w:val="0"/>
      <w:marBottom w:val="0"/>
      <w:divBdr>
        <w:top w:val="none" w:sz="0" w:space="0" w:color="auto"/>
        <w:left w:val="none" w:sz="0" w:space="0" w:color="auto"/>
        <w:bottom w:val="none" w:sz="0" w:space="0" w:color="auto"/>
        <w:right w:val="none" w:sz="0" w:space="0" w:color="auto"/>
      </w:divBdr>
    </w:div>
    <w:div w:id="57944687">
      <w:bodyDiv w:val="1"/>
      <w:marLeft w:val="0"/>
      <w:marRight w:val="0"/>
      <w:marTop w:val="0"/>
      <w:marBottom w:val="0"/>
      <w:divBdr>
        <w:top w:val="none" w:sz="0" w:space="0" w:color="auto"/>
        <w:left w:val="none" w:sz="0" w:space="0" w:color="auto"/>
        <w:bottom w:val="none" w:sz="0" w:space="0" w:color="auto"/>
        <w:right w:val="none" w:sz="0" w:space="0" w:color="auto"/>
      </w:divBdr>
    </w:div>
    <w:div w:id="59985198">
      <w:bodyDiv w:val="1"/>
      <w:marLeft w:val="0"/>
      <w:marRight w:val="0"/>
      <w:marTop w:val="0"/>
      <w:marBottom w:val="0"/>
      <w:divBdr>
        <w:top w:val="none" w:sz="0" w:space="0" w:color="auto"/>
        <w:left w:val="none" w:sz="0" w:space="0" w:color="auto"/>
        <w:bottom w:val="none" w:sz="0" w:space="0" w:color="auto"/>
        <w:right w:val="none" w:sz="0" w:space="0" w:color="auto"/>
      </w:divBdr>
    </w:div>
    <w:div w:id="60490123">
      <w:bodyDiv w:val="1"/>
      <w:marLeft w:val="0"/>
      <w:marRight w:val="0"/>
      <w:marTop w:val="0"/>
      <w:marBottom w:val="0"/>
      <w:divBdr>
        <w:top w:val="none" w:sz="0" w:space="0" w:color="auto"/>
        <w:left w:val="none" w:sz="0" w:space="0" w:color="auto"/>
        <w:bottom w:val="none" w:sz="0" w:space="0" w:color="auto"/>
        <w:right w:val="none" w:sz="0" w:space="0" w:color="auto"/>
      </w:divBdr>
    </w:div>
    <w:div w:id="66196423">
      <w:bodyDiv w:val="1"/>
      <w:marLeft w:val="0"/>
      <w:marRight w:val="0"/>
      <w:marTop w:val="0"/>
      <w:marBottom w:val="0"/>
      <w:divBdr>
        <w:top w:val="none" w:sz="0" w:space="0" w:color="auto"/>
        <w:left w:val="none" w:sz="0" w:space="0" w:color="auto"/>
        <w:bottom w:val="none" w:sz="0" w:space="0" w:color="auto"/>
        <w:right w:val="none" w:sz="0" w:space="0" w:color="auto"/>
      </w:divBdr>
    </w:div>
    <w:div w:id="87503352">
      <w:bodyDiv w:val="1"/>
      <w:marLeft w:val="0"/>
      <w:marRight w:val="0"/>
      <w:marTop w:val="0"/>
      <w:marBottom w:val="0"/>
      <w:divBdr>
        <w:top w:val="none" w:sz="0" w:space="0" w:color="auto"/>
        <w:left w:val="none" w:sz="0" w:space="0" w:color="auto"/>
        <w:bottom w:val="none" w:sz="0" w:space="0" w:color="auto"/>
        <w:right w:val="none" w:sz="0" w:space="0" w:color="auto"/>
      </w:divBdr>
    </w:div>
    <w:div w:id="90199176">
      <w:bodyDiv w:val="1"/>
      <w:marLeft w:val="0"/>
      <w:marRight w:val="0"/>
      <w:marTop w:val="0"/>
      <w:marBottom w:val="0"/>
      <w:divBdr>
        <w:top w:val="none" w:sz="0" w:space="0" w:color="auto"/>
        <w:left w:val="none" w:sz="0" w:space="0" w:color="auto"/>
        <w:bottom w:val="none" w:sz="0" w:space="0" w:color="auto"/>
        <w:right w:val="none" w:sz="0" w:space="0" w:color="auto"/>
      </w:divBdr>
    </w:div>
    <w:div w:id="100423572">
      <w:bodyDiv w:val="1"/>
      <w:marLeft w:val="0"/>
      <w:marRight w:val="0"/>
      <w:marTop w:val="0"/>
      <w:marBottom w:val="0"/>
      <w:divBdr>
        <w:top w:val="none" w:sz="0" w:space="0" w:color="auto"/>
        <w:left w:val="none" w:sz="0" w:space="0" w:color="auto"/>
        <w:bottom w:val="none" w:sz="0" w:space="0" w:color="auto"/>
        <w:right w:val="none" w:sz="0" w:space="0" w:color="auto"/>
      </w:divBdr>
    </w:div>
    <w:div w:id="104548344">
      <w:bodyDiv w:val="1"/>
      <w:marLeft w:val="0"/>
      <w:marRight w:val="0"/>
      <w:marTop w:val="0"/>
      <w:marBottom w:val="0"/>
      <w:divBdr>
        <w:top w:val="none" w:sz="0" w:space="0" w:color="auto"/>
        <w:left w:val="none" w:sz="0" w:space="0" w:color="auto"/>
        <w:bottom w:val="none" w:sz="0" w:space="0" w:color="auto"/>
        <w:right w:val="none" w:sz="0" w:space="0" w:color="auto"/>
      </w:divBdr>
    </w:div>
    <w:div w:id="117188673">
      <w:bodyDiv w:val="1"/>
      <w:marLeft w:val="0"/>
      <w:marRight w:val="0"/>
      <w:marTop w:val="0"/>
      <w:marBottom w:val="0"/>
      <w:divBdr>
        <w:top w:val="none" w:sz="0" w:space="0" w:color="auto"/>
        <w:left w:val="none" w:sz="0" w:space="0" w:color="auto"/>
        <w:bottom w:val="none" w:sz="0" w:space="0" w:color="auto"/>
        <w:right w:val="none" w:sz="0" w:space="0" w:color="auto"/>
      </w:divBdr>
    </w:div>
    <w:div w:id="140269497">
      <w:bodyDiv w:val="1"/>
      <w:marLeft w:val="0"/>
      <w:marRight w:val="0"/>
      <w:marTop w:val="0"/>
      <w:marBottom w:val="0"/>
      <w:divBdr>
        <w:top w:val="none" w:sz="0" w:space="0" w:color="auto"/>
        <w:left w:val="none" w:sz="0" w:space="0" w:color="auto"/>
        <w:bottom w:val="none" w:sz="0" w:space="0" w:color="auto"/>
        <w:right w:val="none" w:sz="0" w:space="0" w:color="auto"/>
      </w:divBdr>
    </w:div>
    <w:div w:id="150489227">
      <w:bodyDiv w:val="1"/>
      <w:marLeft w:val="0"/>
      <w:marRight w:val="0"/>
      <w:marTop w:val="0"/>
      <w:marBottom w:val="0"/>
      <w:divBdr>
        <w:top w:val="none" w:sz="0" w:space="0" w:color="auto"/>
        <w:left w:val="none" w:sz="0" w:space="0" w:color="auto"/>
        <w:bottom w:val="none" w:sz="0" w:space="0" w:color="auto"/>
        <w:right w:val="none" w:sz="0" w:space="0" w:color="auto"/>
      </w:divBdr>
    </w:div>
    <w:div w:id="165943205">
      <w:bodyDiv w:val="1"/>
      <w:marLeft w:val="0"/>
      <w:marRight w:val="0"/>
      <w:marTop w:val="0"/>
      <w:marBottom w:val="0"/>
      <w:divBdr>
        <w:top w:val="none" w:sz="0" w:space="0" w:color="auto"/>
        <w:left w:val="none" w:sz="0" w:space="0" w:color="auto"/>
        <w:bottom w:val="none" w:sz="0" w:space="0" w:color="auto"/>
        <w:right w:val="none" w:sz="0" w:space="0" w:color="auto"/>
      </w:divBdr>
    </w:div>
    <w:div w:id="165948749">
      <w:bodyDiv w:val="1"/>
      <w:marLeft w:val="0"/>
      <w:marRight w:val="0"/>
      <w:marTop w:val="0"/>
      <w:marBottom w:val="0"/>
      <w:divBdr>
        <w:top w:val="none" w:sz="0" w:space="0" w:color="auto"/>
        <w:left w:val="none" w:sz="0" w:space="0" w:color="auto"/>
        <w:bottom w:val="none" w:sz="0" w:space="0" w:color="auto"/>
        <w:right w:val="none" w:sz="0" w:space="0" w:color="auto"/>
      </w:divBdr>
    </w:div>
    <w:div w:id="172959248">
      <w:bodyDiv w:val="1"/>
      <w:marLeft w:val="0"/>
      <w:marRight w:val="0"/>
      <w:marTop w:val="0"/>
      <w:marBottom w:val="0"/>
      <w:divBdr>
        <w:top w:val="none" w:sz="0" w:space="0" w:color="auto"/>
        <w:left w:val="none" w:sz="0" w:space="0" w:color="auto"/>
        <w:bottom w:val="none" w:sz="0" w:space="0" w:color="auto"/>
        <w:right w:val="none" w:sz="0" w:space="0" w:color="auto"/>
      </w:divBdr>
    </w:div>
    <w:div w:id="180359621">
      <w:bodyDiv w:val="1"/>
      <w:marLeft w:val="0"/>
      <w:marRight w:val="0"/>
      <w:marTop w:val="0"/>
      <w:marBottom w:val="0"/>
      <w:divBdr>
        <w:top w:val="none" w:sz="0" w:space="0" w:color="auto"/>
        <w:left w:val="none" w:sz="0" w:space="0" w:color="auto"/>
        <w:bottom w:val="none" w:sz="0" w:space="0" w:color="auto"/>
        <w:right w:val="none" w:sz="0" w:space="0" w:color="auto"/>
      </w:divBdr>
    </w:div>
    <w:div w:id="187834266">
      <w:bodyDiv w:val="1"/>
      <w:marLeft w:val="0"/>
      <w:marRight w:val="0"/>
      <w:marTop w:val="0"/>
      <w:marBottom w:val="0"/>
      <w:divBdr>
        <w:top w:val="none" w:sz="0" w:space="0" w:color="auto"/>
        <w:left w:val="none" w:sz="0" w:space="0" w:color="auto"/>
        <w:bottom w:val="none" w:sz="0" w:space="0" w:color="auto"/>
        <w:right w:val="none" w:sz="0" w:space="0" w:color="auto"/>
      </w:divBdr>
    </w:div>
    <w:div w:id="189733141">
      <w:bodyDiv w:val="1"/>
      <w:marLeft w:val="0"/>
      <w:marRight w:val="0"/>
      <w:marTop w:val="0"/>
      <w:marBottom w:val="0"/>
      <w:divBdr>
        <w:top w:val="none" w:sz="0" w:space="0" w:color="auto"/>
        <w:left w:val="none" w:sz="0" w:space="0" w:color="auto"/>
        <w:bottom w:val="none" w:sz="0" w:space="0" w:color="auto"/>
        <w:right w:val="none" w:sz="0" w:space="0" w:color="auto"/>
      </w:divBdr>
    </w:div>
    <w:div w:id="203371251">
      <w:bodyDiv w:val="1"/>
      <w:marLeft w:val="0"/>
      <w:marRight w:val="0"/>
      <w:marTop w:val="0"/>
      <w:marBottom w:val="0"/>
      <w:divBdr>
        <w:top w:val="none" w:sz="0" w:space="0" w:color="auto"/>
        <w:left w:val="none" w:sz="0" w:space="0" w:color="auto"/>
        <w:bottom w:val="none" w:sz="0" w:space="0" w:color="auto"/>
        <w:right w:val="none" w:sz="0" w:space="0" w:color="auto"/>
      </w:divBdr>
    </w:div>
    <w:div w:id="217787992">
      <w:bodyDiv w:val="1"/>
      <w:marLeft w:val="0"/>
      <w:marRight w:val="0"/>
      <w:marTop w:val="0"/>
      <w:marBottom w:val="0"/>
      <w:divBdr>
        <w:top w:val="none" w:sz="0" w:space="0" w:color="auto"/>
        <w:left w:val="none" w:sz="0" w:space="0" w:color="auto"/>
        <w:bottom w:val="none" w:sz="0" w:space="0" w:color="auto"/>
        <w:right w:val="none" w:sz="0" w:space="0" w:color="auto"/>
      </w:divBdr>
    </w:div>
    <w:div w:id="219440494">
      <w:bodyDiv w:val="1"/>
      <w:marLeft w:val="0"/>
      <w:marRight w:val="0"/>
      <w:marTop w:val="0"/>
      <w:marBottom w:val="0"/>
      <w:divBdr>
        <w:top w:val="none" w:sz="0" w:space="0" w:color="auto"/>
        <w:left w:val="none" w:sz="0" w:space="0" w:color="auto"/>
        <w:bottom w:val="none" w:sz="0" w:space="0" w:color="auto"/>
        <w:right w:val="none" w:sz="0" w:space="0" w:color="auto"/>
      </w:divBdr>
    </w:div>
    <w:div w:id="227224990">
      <w:bodyDiv w:val="1"/>
      <w:marLeft w:val="0"/>
      <w:marRight w:val="0"/>
      <w:marTop w:val="0"/>
      <w:marBottom w:val="0"/>
      <w:divBdr>
        <w:top w:val="none" w:sz="0" w:space="0" w:color="auto"/>
        <w:left w:val="none" w:sz="0" w:space="0" w:color="auto"/>
        <w:bottom w:val="none" w:sz="0" w:space="0" w:color="auto"/>
        <w:right w:val="none" w:sz="0" w:space="0" w:color="auto"/>
      </w:divBdr>
    </w:div>
    <w:div w:id="233780018">
      <w:bodyDiv w:val="1"/>
      <w:marLeft w:val="0"/>
      <w:marRight w:val="0"/>
      <w:marTop w:val="0"/>
      <w:marBottom w:val="0"/>
      <w:divBdr>
        <w:top w:val="none" w:sz="0" w:space="0" w:color="auto"/>
        <w:left w:val="none" w:sz="0" w:space="0" w:color="auto"/>
        <w:bottom w:val="none" w:sz="0" w:space="0" w:color="auto"/>
        <w:right w:val="none" w:sz="0" w:space="0" w:color="auto"/>
      </w:divBdr>
    </w:div>
    <w:div w:id="245770976">
      <w:bodyDiv w:val="1"/>
      <w:marLeft w:val="0"/>
      <w:marRight w:val="0"/>
      <w:marTop w:val="0"/>
      <w:marBottom w:val="0"/>
      <w:divBdr>
        <w:top w:val="none" w:sz="0" w:space="0" w:color="auto"/>
        <w:left w:val="none" w:sz="0" w:space="0" w:color="auto"/>
        <w:bottom w:val="none" w:sz="0" w:space="0" w:color="auto"/>
        <w:right w:val="none" w:sz="0" w:space="0" w:color="auto"/>
      </w:divBdr>
    </w:div>
    <w:div w:id="255988998">
      <w:bodyDiv w:val="1"/>
      <w:marLeft w:val="0"/>
      <w:marRight w:val="0"/>
      <w:marTop w:val="0"/>
      <w:marBottom w:val="0"/>
      <w:divBdr>
        <w:top w:val="none" w:sz="0" w:space="0" w:color="auto"/>
        <w:left w:val="none" w:sz="0" w:space="0" w:color="auto"/>
        <w:bottom w:val="none" w:sz="0" w:space="0" w:color="auto"/>
        <w:right w:val="none" w:sz="0" w:space="0" w:color="auto"/>
      </w:divBdr>
    </w:div>
    <w:div w:id="261883017">
      <w:bodyDiv w:val="1"/>
      <w:marLeft w:val="0"/>
      <w:marRight w:val="0"/>
      <w:marTop w:val="0"/>
      <w:marBottom w:val="0"/>
      <w:divBdr>
        <w:top w:val="none" w:sz="0" w:space="0" w:color="auto"/>
        <w:left w:val="none" w:sz="0" w:space="0" w:color="auto"/>
        <w:bottom w:val="none" w:sz="0" w:space="0" w:color="auto"/>
        <w:right w:val="none" w:sz="0" w:space="0" w:color="auto"/>
      </w:divBdr>
    </w:div>
    <w:div w:id="265575135">
      <w:bodyDiv w:val="1"/>
      <w:marLeft w:val="0"/>
      <w:marRight w:val="0"/>
      <w:marTop w:val="0"/>
      <w:marBottom w:val="0"/>
      <w:divBdr>
        <w:top w:val="none" w:sz="0" w:space="0" w:color="auto"/>
        <w:left w:val="none" w:sz="0" w:space="0" w:color="auto"/>
        <w:bottom w:val="none" w:sz="0" w:space="0" w:color="auto"/>
        <w:right w:val="none" w:sz="0" w:space="0" w:color="auto"/>
      </w:divBdr>
    </w:div>
    <w:div w:id="280112856">
      <w:bodyDiv w:val="1"/>
      <w:marLeft w:val="0"/>
      <w:marRight w:val="0"/>
      <w:marTop w:val="0"/>
      <w:marBottom w:val="0"/>
      <w:divBdr>
        <w:top w:val="none" w:sz="0" w:space="0" w:color="auto"/>
        <w:left w:val="none" w:sz="0" w:space="0" w:color="auto"/>
        <w:bottom w:val="none" w:sz="0" w:space="0" w:color="auto"/>
        <w:right w:val="none" w:sz="0" w:space="0" w:color="auto"/>
      </w:divBdr>
    </w:div>
    <w:div w:id="285625597">
      <w:bodyDiv w:val="1"/>
      <w:marLeft w:val="0"/>
      <w:marRight w:val="0"/>
      <w:marTop w:val="0"/>
      <w:marBottom w:val="0"/>
      <w:divBdr>
        <w:top w:val="none" w:sz="0" w:space="0" w:color="auto"/>
        <w:left w:val="none" w:sz="0" w:space="0" w:color="auto"/>
        <w:bottom w:val="none" w:sz="0" w:space="0" w:color="auto"/>
        <w:right w:val="none" w:sz="0" w:space="0" w:color="auto"/>
      </w:divBdr>
    </w:div>
    <w:div w:id="310719671">
      <w:bodyDiv w:val="1"/>
      <w:marLeft w:val="0"/>
      <w:marRight w:val="0"/>
      <w:marTop w:val="0"/>
      <w:marBottom w:val="0"/>
      <w:divBdr>
        <w:top w:val="none" w:sz="0" w:space="0" w:color="auto"/>
        <w:left w:val="none" w:sz="0" w:space="0" w:color="auto"/>
        <w:bottom w:val="none" w:sz="0" w:space="0" w:color="auto"/>
        <w:right w:val="none" w:sz="0" w:space="0" w:color="auto"/>
      </w:divBdr>
    </w:div>
    <w:div w:id="331761887">
      <w:bodyDiv w:val="1"/>
      <w:marLeft w:val="0"/>
      <w:marRight w:val="0"/>
      <w:marTop w:val="0"/>
      <w:marBottom w:val="0"/>
      <w:divBdr>
        <w:top w:val="none" w:sz="0" w:space="0" w:color="auto"/>
        <w:left w:val="none" w:sz="0" w:space="0" w:color="auto"/>
        <w:bottom w:val="none" w:sz="0" w:space="0" w:color="auto"/>
        <w:right w:val="none" w:sz="0" w:space="0" w:color="auto"/>
      </w:divBdr>
    </w:div>
    <w:div w:id="338775274">
      <w:bodyDiv w:val="1"/>
      <w:marLeft w:val="0"/>
      <w:marRight w:val="0"/>
      <w:marTop w:val="0"/>
      <w:marBottom w:val="0"/>
      <w:divBdr>
        <w:top w:val="none" w:sz="0" w:space="0" w:color="auto"/>
        <w:left w:val="none" w:sz="0" w:space="0" w:color="auto"/>
        <w:bottom w:val="none" w:sz="0" w:space="0" w:color="auto"/>
        <w:right w:val="none" w:sz="0" w:space="0" w:color="auto"/>
      </w:divBdr>
    </w:div>
    <w:div w:id="351077628">
      <w:bodyDiv w:val="1"/>
      <w:marLeft w:val="0"/>
      <w:marRight w:val="0"/>
      <w:marTop w:val="0"/>
      <w:marBottom w:val="0"/>
      <w:divBdr>
        <w:top w:val="none" w:sz="0" w:space="0" w:color="auto"/>
        <w:left w:val="none" w:sz="0" w:space="0" w:color="auto"/>
        <w:bottom w:val="none" w:sz="0" w:space="0" w:color="auto"/>
        <w:right w:val="none" w:sz="0" w:space="0" w:color="auto"/>
      </w:divBdr>
    </w:div>
    <w:div w:id="353072741">
      <w:bodyDiv w:val="1"/>
      <w:marLeft w:val="0"/>
      <w:marRight w:val="0"/>
      <w:marTop w:val="0"/>
      <w:marBottom w:val="0"/>
      <w:divBdr>
        <w:top w:val="none" w:sz="0" w:space="0" w:color="auto"/>
        <w:left w:val="none" w:sz="0" w:space="0" w:color="auto"/>
        <w:bottom w:val="none" w:sz="0" w:space="0" w:color="auto"/>
        <w:right w:val="none" w:sz="0" w:space="0" w:color="auto"/>
      </w:divBdr>
    </w:div>
    <w:div w:id="353847109">
      <w:bodyDiv w:val="1"/>
      <w:marLeft w:val="0"/>
      <w:marRight w:val="0"/>
      <w:marTop w:val="0"/>
      <w:marBottom w:val="0"/>
      <w:divBdr>
        <w:top w:val="none" w:sz="0" w:space="0" w:color="auto"/>
        <w:left w:val="none" w:sz="0" w:space="0" w:color="auto"/>
        <w:bottom w:val="none" w:sz="0" w:space="0" w:color="auto"/>
        <w:right w:val="none" w:sz="0" w:space="0" w:color="auto"/>
      </w:divBdr>
    </w:div>
    <w:div w:id="377977820">
      <w:bodyDiv w:val="1"/>
      <w:marLeft w:val="0"/>
      <w:marRight w:val="0"/>
      <w:marTop w:val="0"/>
      <w:marBottom w:val="0"/>
      <w:divBdr>
        <w:top w:val="none" w:sz="0" w:space="0" w:color="auto"/>
        <w:left w:val="none" w:sz="0" w:space="0" w:color="auto"/>
        <w:bottom w:val="none" w:sz="0" w:space="0" w:color="auto"/>
        <w:right w:val="none" w:sz="0" w:space="0" w:color="auto"/>
      </w:divBdr>
    </w:div>
    <w:div w:id="381448684">
      <w:bodyDiv w:val="1"/>
      <w:marLeft w:val="0"/>
      <w:marRight w:val="0"/>
      <w:marTop w:val="0"/>
      <w:marBottom w:val="0"/>
      <w:divBdr>
        <w:top w:val="none" w:sz="0" w:space="0" w:color="auto"/>
        <w:left w:val="none" w:sz="0" w:space="0" w:color="auto"/>
        <w:bottom w:val="none" w:sz="0" w:space="0" w:color="auto"/>
        <w:right w:val="none" w:sz="0" w:space="0" w:color="auto"/>
      </w:divBdr>
    </w:div>
    <w:div w:id="403527643">
      <w:bodyDiv w:val="1"/>
      <w:marLeft w:val="0"/>
      <w:marRight w:val="0"/>
      <w:marTop w:val="0"/>
      <w:marBottom w:val="0"/>
      <w:divBdr>
        <w:top w:val="none" w:sz="0" w:space="0" w:color="auto"/>
        <w:left w:val="none" w:sz="0" w:space="0" w:color="auto"/>
        <w:bottom w:val="none" w:sz="0" w:space="0" w:color="auto"/>
        <w:right w:val="none" w:sz="0" w:space="0" w:color="auto"/>
      </w:divBdr>
    </w:div>
    <w:div w:id="406340061">
      <w:bodyDiv w:val="1"/>
      <w:marLeft w:val="0"/>
      <w:marRight w:val="0"/>
      <w:marTop w:val="0"/>
      <w:marBottom w:val="0"/>
      <w:divBdr>
        <w:top w:val="none" w:sz="0" w:space="0" w:color="auto"/>
        <w:left w:val="none" w:sz="0" w:space="0" w:color="auto"/>
        <w:bottom w:val="none" w:sz="0" w:space="0" w:color="auto"/>
        <w:right w:val="none" w:sz="0" w:space="0" w:color="auto"/>
      </w:divBdr>
    </w:div>
    <w:div w:id="418135176">
      <w:bodyDiv w:val="1"/>
      <w:marLeft w:val="0"/>
      <w:marRight w:val="0"/>
      <w:marTop w:val="0"/>
      <w:marBottom w:val="0"/>
      <w:divBdr>
        <w:top w:val="none" w:sz="0" w:space="0" w:color="auto"/>
        <w:left w:val="none" w:sz="0" w:space="0" w:color="auto"/>
        <w:bottom w:val="none" w:sz="0" w:space="0" w:color="auto"/>
        <w:right w:val="none" w:sz="0" w:space="0" w:color="auto"/>
      </w:divBdr>
    </w:div>
    <w:div w:id="447117686">
      <w:bodyDiv w:val="1"/>
      <w:marLeft w:val="0"/>
      <w:marRight w:val="0"/>
      <w:marTop w:val="0"/>
      <w:marBottom w:val="0"/>
      <w:divBdr>
        <w:top w:val="none" w:sz="0" w:space="0" w:color="auto"/>
        <w:left w:val="none" w:sz="0" w:space="0" w:color="auto"/>
        <w:bottom w:val="none" w:sz="0" w:space="0" w:color="auto"/>
        <w:right w:val="none" w:sz="0" w:space="0" w:color="auto"/>
      </w:divBdr>
    </w:div>
    <w:div w:id="456293012">
      <w:bodyDiv w:val="1"/>
      <w:marLeft w:val="0"/>
      <w:marRight w:val="0"/>
      <w:marTop w:val="0"/>
      <w:marBottom w:val="0"/>
      <w:divBdr>
        <w:top w:val="none" w:sz="0" w:space="0" w:color="auto"/>
        <w:left w:val="none" w:sz="0" w:space="0" w:color="auto"/>
        <w:bottom w:val="none" w:sz="0" w:space="0" w:color="auto"/>
        <w:right w:val="none" w:sz="0" w:space="0" w:color="auto"/>
      </w:divBdr>
    </w:div>
    <w:div w:id="467863861">
      <w:bodyDiv w:val="1"/>
      <w:marLeft w:val="0"/>
      <w:marRight w:val="0"/>
      <w:marTop w:val="0"/>
      <w:marBottom w:val="0"/>
      <w:divBdr>
        <w:top w:val="none" w:sz="0" w:space="0" w:color="auto"/>
        <w:left w:val="none" w:sz="0" w:space="0" w:color="auto"/>
        <w:bottom w:val="none" w:sz="0" w:space="0" w:color="auto"/>
        <w:right w:val="none" w:sz="0" w:space="0" w:color="auto"/>
      </w:divBdr>
    </w:div>
    <w:div w:id="468211825">
      <w:bodyDiv w:val="1"/>
      <w:marLeft w:val="0"/>
      <w:marRight w:val="0"/>
      <w:marTop w:val="0"/>
      <w:marBottom w:val="0"/>
      <w:divBdr>
        <w:top w:val="none" w:sz="0" w:space="0" w:color="auto"/>
        <w:left w:val="none" w:sz="0" w:space="0" w:color="auto"/>
        <w:bottom w:val="none" w:sz="0" w:space="0" w:color="auto"/>
        <w:right w:val="none" w:sz="0" w:space="0" w:color="auto"/>
      </w:divBdr>
    </w:div>
    <w:div w:id="492183254">
      <w:bodyDiv w:val="1"/>
      <w:marLeft w:val="0"/>
      <w:marRight w:val="0"/>
      <w:marTop w:val="0"/>
      <w:marBottom w:val="0"/>
      <w:divBdr>
        <w:top w:val="none" w:sz="0" w:space="0" w:color="auto"/>
        <w:left w:val="none" w:sz="0" w:space="0" w:color="auto"/>
        <w:bottom w:val="none" w:sz="0" w:space="0" w:color="auto"/>
        <w:right w:val="none" w:sz="0" w:space="0" w:color="auto"/>
      </w:divBdr>
    </w:div>
    <w:div w:id="497308228">
      <w:bodyDiv w:val="1"/>
      <w:marLeft w:val="0"/>
      <w:marRight w:val="0"/>
      <w:marTop w:val="0"/>
      <w:marBottom w:val="0"/>
      <w:divBdr>
        <w:top w:val="none" w:sz="0" w:space="0" w:color="auto"/>
        <w:left w:val="none" w:sz="0" w:space="0" w:color="auto"/>
        <w:bottom w:val="none" w:sz="0" w:space="0" w:color="auto"/>
        <w:right w:val="none" w:sz="0" w:space="0" w:color="auto"/>
      </w:divBdr>
    </w:div>
    <w:div w:id="504905244">
      <w:bodyDiv w:val="1"/>
      <w:marLeft w:val="0"/>
      <w:marRight w:val="0"/>
      <w:marTop w:val="0"/>
      <w:marBottom w:val="0"/>
      <w:divBdr>
        <w:top w:val="none" w:sz="0" w:space="0" w:color="auto"/>
        <w:left w:val="none" w:sz="0" w:space="0" w:color="auto"/>
        <w:bottom w:val="none" w:sz="0" w:space="0" w:color="auto"/>
        <w:right w:val="none" w:sz="0" w:space="0" w:color="auto"/>
      </w:divBdr>
    </w:div>
    <w:div w:id="508329915">
      <w:bodyDiv w:val="1"/>
      <w:marLeft w:val="0"/>
      <w:marRight w:val="0"/>
      <w:marTop w:val="0"/>
      <w:marBottom w:val="0"/>
      <w:divBdr>
        <w:top w:val="none" w:sz="0" w:space="0" w:color="auto"/>
        <w:left w:val="none" w:sz="0" w:space="0" w:color="auto"/>
        <w:bottom w:val="none" w:sz="0" w:space="0" w:color="auto"/>
        <w:right w:val="none" w:sz="0" w:space="0" w:color="auto"/>
      </w:divBdr>
    </w:div>
    <w:div w:id="510460718">
      <w:bodyDiv w:val="1"/>
      <w:marLeft w:val="0"/>
      <w:marRight w:val="0"/>
      <w:marTop w:val="0"/>
      <w:marBottom w:val="0"/>
      <w:divBdr>
        <w:top w:val="none" w:sz="0" w:space="0" w:color="auto"/>
        <w:left w:val="none" w:sz="0" w:space="0" w:color="auto"/>
        <w:bottom w:val="none" w:sz="0" w:space="0" w:color="auto"/>
        <w:right w:val="none" w:sz="0" w:space="0" w:color="auto"/>
      </w:divBdr>
    </w:div>
    <w:div w:id="535116160">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59024296">
      <w:bodyDiv w:val="1"/>
      <w:marLeft w:val="0"/>
      <w:marRight w:val="0"/>
      <w:marTop w:val="0"/>
      <w:marBottom w:val="0"/>
      <w:divBdr>
        <w:top w:val="none" w:sz="0" w:space="0" w:color="auto"/>
        <w:left w:val="none" w:sz="0" w:space="0" w:color="auto"/>
        <w:bottom w:val="none" w:sz="0" w:space="0" w:color="auto"/>
        <w:right w:val="none" w:sz="0" w:space="0" w:color="auto"/>
      </w:divBdr>
    </w:div>
    <w:div w:id="571231359">
      <w:bodyDiv w:val="1"/>
      <w:marLeft w:val="0"/>
      <w:marRight w:val="0"/>
      <w:marTop w:val="0"/>
      <w:marBottom w:val="0"/>
      <w:divBdr>
        <w:top w:val="none" w:sz="0" w:space="0" w:color="auto"/>
        <w:left w:val="none" w:sz="0" w:space="0" w:color="auto"/>
        <w:bottom w:val="none" w:sz="0" w:space="0" w:color="auto"/>
        <w:right w:val="none" w:sz="0" w:space="0" w:color="auto"/>
      </w:divBdr>
    </w:div>
    <w:div w:id="585000765">
      <w:bodyDiv w:val="1"/>
      <w:marLeft w:val="0"/>
      <w:marRight w:val="0"/>
      <w:marTop w:val="0"/>
      <w:marBottom w:val="0"/>
      <w:divBdr>
        <w:top w:val="none" w:sz="0" w:space="0" w:color="auto"/>
        <w:left w:val="none" w:sz="0" w:space="0" w:color="auto"/>
        <w:bottom w:val="none" w:sz="0" w:space="0" w:color="auto"/>
        <w:right w:val="none" w:sz="0" w:space="0" w:color="auto"/>
      </w:divBdr>
    </w:div>
    <w:div w:id="586816578">
      <w:bodyDiv w:val="1"/>
      <w:marLeft w:val="0"/>
      <w:marRight w:val="0"/>
      <w:marTop w:val="0"/>
      <w:marBottom w:val="0"/>
      <w:divBdr>
        <w:top w:val="none" w:sz="0" w:space="0" w:color="auto"/>
        <w:left w:val="none" w:sz="0" w:space="0" w:color="auto"/>
        <w:bottom w:val="none" w:sz="0" w:space="0" w:color="auto"/>
        <w:right w:val="none" w:sz="0" w:space="0" w:color="auto"/>
      </w:divBdr>
    </w:div>
    <w:div w:id="593628397">
      <w:bodyDiv w:val="1"/>
      <w:marLeft w:val="0"/>
      <w:marRight w:val="0"/>
      <w:marTop w:val="0"/>
      <w:marBottom w:val="0"/>
      <w:divBdr>
        <w:top w:val="none" w:sz="0" w:space="0" w:color="auto"/>
        <w:left w:val="none" w:sz="0" w:space="0" w:color="auto"/>
        <w:bottom w:val="none" w:sz="0" w:space="0" w:color="auto"/>
        <w:right w:val="none" w:sz="0" w:space="0" w:color="auto"/>
      </w:divBdr>
    </w:div>
    <w:div w:id="595480605">
      <w:bodyDiv w:val="1"/>
      <w:marLeft w:val="0"/>
      <w:marRight w:val="0"/>
      <w:marTop w:val="0"/>
      <w:marBottom w:val="0"/>
      <w:divBdr>
        <w:top w:val="none" w:sz="0" w:space="0" w:color="auto"/>
        <w:left w:val="none" w:sz="0" w:space="0" w:color="auto"/>
        <w:bottom w:val="none" w:sz="0" w:space="0" w:color="auto"/>
        <w:right w:val="none" w:sz="0" w:space="0" w:color="auto"/>
      </w:divBdr>
    </w:div>
    <w:div w:id="598634583">
      <w:bodyDiv w:val="1"/>
      <w:marLeft w:val="0"/>
      <w:marRight w:val="0"/>
      <w:marTop w:val="0"/>
      <w:marBottom w:val="0"/>
      <w:divBdr>
        <w:top w:val="none" w:sz="0" w:space="0" w:color="auto"/>
        <w:left w:val="none" w:sz="0" w:space="0" w:color="auto"/>
        <w:bottom w:val="none" w:sz="0" w:space="0" w:color="auto"/>
        <w:right w:val="none" w:sz="0" w:space="0" w:color="auto"/>
      </w:divBdr>
    </w:div>
    <w:div w:id="609896314">
      <w:bodyDiv w:val="1"/>
      <w:marLeft w:val="0"/>
      <w:marRight w:val="0"/>
      <w:marTop w:val="0"/>
      <w:marBottom w:val="0"/>
      <w:divBdr>
        <w:top w:val="none" w:sz="0" w:space="0" w:color="auto"/>
        <w:left w:val="none" w:sz="0" w:space="0" w:color="auto"/>
        <w:bottom w:val="none" w:sz="0" w:space="0" w:color="auto"/>
        <w:right w:val="none" w:sz="0" w:space="0" w:color="auto"/>
      </w:divBdr>
    </w:div>
    <w:div w:id="611397108">
      <w:bodyDiv w:val="1"/>
      <w:marLeft w:val="0"/>
      <w:marRight w:val="0"/>
      <w:marTop w:val="0"/>
      <w:marBottom w:val="0"/>
      <w:divBdr>
        <w:top w:val="none" w:sz="0" w:space="0" w:color="auto"/>
        <w:left w:val="none" w:sz="0" w:space="0" w:color="auto"/>
        <w:bottom w:val="none" w:sz="0" w:space="0" w:color="auto"/>
        <w:right w:val="none" w:sz="0" w:space="0" w:color="auto"/>
      </w:divBdr>
    </w:div>
    <w:div w:id="616377652">
      <w:bodyDiv w:val="1"/>
      <w:marLeft w:val="0"/>
      <w:marRight w:val="0"/>
      <w:marTop w:val="0"/>
      <w:marBottom w:val="0"/>
      <w:divBdr>
        <w:top w:val="none" w:sz="0" w:space="0" w:color="auto"/>
        <w:left w:val="none" w:sz="0" w:space="0" w:color="auto"/>
        <w:bottom w:val="none" w:sz="0" w:space="0" w:color="auto"/>
        <w:right w:val="none" w:sz="0" w:space="0" w:color="auto"/>
      </w:divBdr>
    </w:div>
    <w:div w:id="620839289">
      <w:bodyDiv w:val="1"/>
      <w:marLeft w:val="0"/>
      <w:marRight w:val="0"/>
      <w:marTop w:val="0"/>
      <w:marBottom w:val="0"/>
      <w:divBdr>
        <w:top w:val="none" w:sz="0" w:space="0" w:color="auto"/>
        <w:left w:val="none" w:sz="0" w:space="0" w:color="auto"/>
        <w:bottom w:val="none" w:sz="0" w:space="0" w:color="auto"/>
        <w:right w:val="none" w:sz="0" w:space="0" w:color="auto"/>
      </w:divBdr>
    </w:div>
    <w:div w:id="620958302">
      <w:bodyDiv w:val="1"/>
      <w:marLeft w:val="0"/>
      <w:marRight w:val="0"/>
      <w:marTop w:val="0"/>
      <w:marBottom w:val="0"/>
      <w:divBdr>
        <w:top w:val="none" w:sz="0" w:space="0" w:color="auto"/>
        <w:left w:val="none" w:sz="0" w:space="0" w:color="auto"/>
        <w:bottom w:val="none" w:sz="0" w:space="0" w:color="auto"/>
        <w:right w:val="none" w:sz="0" w:space="0" w:color="auto"/>
      </w:divBdr>
    </w:div>
    <w:div w:id="624585537">
      <w:bodyDiv w:val="1"/>
      <w:marLeft w:val="0"/>
      <w:marRight w:val="0"/>
      <w:marTop w:val="0"/>
      <w:marBottom w:val="0"/>
      <w:divBdr>
        <w:top w:val="none" w:sz="0" w:space="0" w:color="auto"/>
        <w:left w:val="none" w:sz="0" w:space="0" w:color="auto"/>
        <w:bottom w:val="none" w:sz="0" w:space="0" w:color="auto"/>
        <w:right w:val="none" w:sz="0" w:space="0" w:color="auto"/>
      </w:divBdr>
    </w:div>
    <w:div w:id="639068564">
      <w:bodyDiv w:val="1"/>
      <w:marLeft w:val="0"/>
      <w:marRight w:val="0"/>
      <w:marTop w:val="0"/>
      <w:marBottom w:val="0"/>
      <w:divBdr>
        <w:top w:val="none" w:sz="0" w:space="0" w:color="auto"/>
        <w:left w:val="none" w:sz="0" w:space="0" w:color="auto"/>
        <w:bottom w:val="none" w:sz="0" w:space="0" w:color="auto"/>
        <w:right w:val="none" w:sz="0" w:space="0" w:color="auto"/>
      </w:divBdr>
    </w:div>
    <w:div w:id="642926570">
      <w:bodyDiv w:val="1"/>
      <w:marLeft w:val="0"/>
      <w:marRight w:val="0"/>
      <w:marTop w:val="0"/>
      <w:marBottom w:val="0"/>
      <w:divBdr>
        <w:top w:val="none" w:sz="0" w:space="0" w:color="auto"/>
        <w:left w:val="none" w:sz="0" w:space="0" w:color="auto"/>
        <w:bottom w:val="none" w:sz="0" w:space="0" w:color="auto"/>
        <w:right w:val="none" w:sz="0" w:space="0" w:color="auto"/>
      </w:divBdr>
    </w:div>
    <w:div w:id="665742351">
      <w:bodyDiv w:val="1"/>
      <w:marLeft w:val="0"/>
      <w:marRight w:val="0"/>
      <w:marTop w:val="0"/>
      <w:marBottom w:val="0"/>
      <w:divBdr>
        <w:top w:val="none" w:sz="0" w:space="0" w:color="auto"/>
        <w:left w:val="none" w:sz="0" w:space="0" w:color="auto"/>
        <w:bottom w:val="none" w:sz="0" w:space="0" w:color="auto"/>
        <w:right w:val="none" w:sz="0" w:space="0" w:color="auto"/>
      </w:divBdr>
    </w:div>
    <w:div w:id="671107215">
      <w:bodyDiv w:val="1"/>
      <w:marLeft w:val="0"/>
      <w:marRight w:val="0"/>
      <w:marTop w:val="0"/>
      <w:marBottom w:val="0"/>
      <w:divBdr>
        <w:top w:val="none" w:sz="0" w:space="0" w:color="auto"/>
        <w:left w:val="none" w:sz="0" w:space="0" w:color="auto"/>
        <w:bottom w:val="none" w:sz="0" w:space="0" w:color="auto"/>
        <w:right w:val="none" w:sz="0" w:space="0" w:color="auto"/>
      </w:divBdr>
    </w:div>
    <w:div w:id="672417885">
      <w:bodyDiv w:val="1"/>
      <w:marLeft w:val="0"/>
      <w:marRight w:val="0"/>
      <w:marTop w:val="0"/>
      <w:marBottom w:val="0"/>
      <w:divBdr>
        <w:top w:val="none" w:sz="0" w:space="0" w:color="auto"/>
        <w:left w:val="none" w:sz="0" w:space="0" w:color="auto"/>
        <w:bottom w:val="none" w:sz="0" w:space="0" w:color="auto"/>
        <w:right w:val="none" w:sz="0" w:space="0" w:color="auto"/>
      </w:divBdr>
    </w:div>
    <w:div w:id="690765988">
      <w:bodyDiv w:val="1"/>
      <w:marLeft w:val="0"/>
      <w:marRight w:val="0"/>
      <w:marTop w:val="0"/>
      <w:marBottom w:val="0"/>
      <w:divBdr>
        <w:top w:val="none" w:sz="0" w:space="0" w:color="auto"/>
        <w:left w:val="none" w:sz="0" w:space="0" w:color="auto"/>
        <w:bottom w:val="none" w:sz="0" w:space="0" w:color="auto"/>
        <w:right w:val="none" w:sz="0" w:space="0" w:color="auto"/>
      </w:divBdr>
    </w:div>
    <w:div w:id="699666453">
      <w:bodyDiv w:val="1"/>
      <w:marLeft w:val="0"/>
      <w:marRight w:val="0"/>
      <w:marTop w:val="0"/>
      <w:marBottom w:val="0"/>
      <w:divBdr>
        <w:top w:val="none" w:sz="0" w:space="0" w:color="auto"/>
        <w:left w:val="none" w:sz="0" w:space="0" w:color="auto"/>
        <w:bottom w:val="none" w:sz="0" w:space="0" w:color="auto"/>
        <w:right w:val="none" w:sz="0" w:space="0" w:color="auto"/>
      </w:divBdr>
    </w:div>
    <w:div w:id="703334004">
      <w:bodyDiv w:val="1"/>
      <w:marLeft w:val="0"/>
      <w:marRight w:val="0"/>
      <w:marTop w:val="0"/>
      <w:marBottom w:val="0"/>
      <w:divBdr>
        <w:top w:val="none" w:sz="0" w:space="0" w:color="auto"/>
        <w:left w:val="none" w:sz="0" w:space="0" w:color="auto"/>
        <w:bottom w:val="none" w:sz="0" w:space="0" w:color="auto"/>
        <w:right w:val="none" w:sz="0" w:space="0" w:color="auto"/>
      </w:divBdr>
    </w:div>
    <w:div w:id="711686672">
      <w:bodyDiv w:val="1"/>
      <w:marLeft w:val="0"/>
      <w:marRight w:val="0"/>
      <w:marTop w:val="0"/>
      <w:marBottom w:val="0"/>
      <w:divBdr>
        <w:top w:val="none" w:sz="0" w:space="0" w:color="auto"/>
        <w:left w:val="none" w:sz="0" w:space="0" w:color="auto"/>
        <w:bottom w:val="none" w:sz="0" w:space="0" w:color="auto"/>
        <w:right w:val="none" w:sz="0" w:space="0" w:color="auto"/>
      </w:divBdr>
    </w:div>
    <w:div w:id="715935910">
      <w:bodyDiv w:val="1"/>
      <w:marLeft w:val="0"/>
      <w:marRight w:val="0"/>
      <w:marTop w:val="0"/>
      <w:marBottom w:val="0"/>
      <w:divBdr>
        <w:top w:val="none" w:sz="0" w:space="0" w:color="auto"/>
        <w:left w:val="none" w:sz="0" w:space="0" w:color="auto"/>
        <w:bottom w:val="none" w:sz="0" w:space="0" w:color="auto"/>
        <w:right w:val="none" w:sz="0" w:space="0" w:color="auto"/>
      </w:divBdr>
    </w:div>
    <w:div w:id="715936442">
      <w:bodyDiv w:val="1"/>
      <w:marLeft w:val="0"/>
      <w:marRight w:val="0"/>
      <w:marTop w:val="0"/>
      <w:marBottom w:val="0"/>
      <w:divBdr>
        <w:top w:val="none" w:sz="0" w:space="0" w:color="auto"/>
        <w:left w:val="none" w:sz="0" w:space="0" w:color="auto"/>
        <w:bottom w:val="none" w:sz="0" w:space="0" w:color="auto"/>
        <w:right w:val="none" w:sz="0" w:space="0" w:color="auto"/>
      </w:divBdr>
    </w:div>
    <w:div w:id="716054229">
      <w:bodyDiv w:val="1"/>
      <w:marLeft w:val="0"/>
      <w:marRight w:val="0"/>
      <w:marTop w:val="0"/>
      <w:marBottom w:val="0"/>
      <w:divBdr>
        <w:top w:val="none" w:sz="0" w:space="0" w:color="auto"/>
        <w:left w:val="none" w:sz="0" w:space="0" w:color="auto"/>
        <w:bottom w:val="none" w:sz="0" w:space="0" w:color="auto"/>
        <w:right w:val="none" w:sz="0" w:space="0" w:color="auto"/>
      </w:divBdr>
    </w:div>
    <w:div w:id="721711150">
      <w:bodyDiv w:val="1"/>
      <w:marLeft w:val="0"/>
      <w:marRight w:val="0"/>
      <w:marTop w:val="0"/>
      <w:marBottom w:val="0"/>
      <w:divBdr>
        <w:top w:val="none" w:sz="0" w:space="0" w:color="auto"/>
        <w:left w:val="none" w:sz="0" w:space="0" w:color="auto"/>
        <w:bottom w:val="none" w:sz="0" w:space="0" w:color="auto"/>
        <w:right w:val="none" w:sz="0" w:space="0" w:color="auto"/>
      </w:divBdr>
    </w:div>
    <w:div w:id="722487100">
      <w:bodyDiv w:val="1"/>
      <w:marLeft w:val="0"/>
      <w:marRight w:val="0"/>
      <w:marTop w:val="0"/>
      <w:marBottom w:val="0"/>
      <w:divBdr>
        <w:top w:val="none" w:sz="0" w:space="0" w:color="auto"/>
        <w:left w:val="none" w:sz="0" w:space="0" w:color="auto"/>
        <w:bottom w:val="none" w:sz="0" w:space="0" w:color="auto"/>
        <w:right w:val="none" w:sz="0" w:space="0" w:color="auto"/>
      </w:divBdr>
    </w:div>
    <w:div w:id="728116860">
      <w:bodyDiv w:val="1"/>
      <w:marLeft w:val="0"/>
      <w:marRight w:val="0"/>
      <w:marTop w:val="0"/>
      <w:marBottom w:val="0"/>
      <w:divBdr>
        <w:top w:val="none" w:sz="0" w:space="0" w:color="auto"/>
        <w:left w:val="none" w:sz="0" w:space="0" w:color="auto"/>
        <w:bottom w:val="none" w:sz="0" w:space="0" w:color="auto"/>
        <w:right w:val="none" w:sz="0" w:space="0" w:color="auto"/>
      </w:divBdr>
    </w:div>
    <w:div w:id="737242829">
      <w:bodyDiv w:val="1"/>
      <w:marLeft w:val="0"/>
      <w:marRight w:val="0"/>
      <w:marTop w:val="0"/>
      <w:marBottom w:val="0"/>
      <w:divBdr>
        <w:top w:val="none" w:sz="0" w:space="0" w:color="auto"/>
        <w:left w:val="none" w:sz="0" w:space="0" w:color="auto"/>
        <w:bottom w:val="none" w:sz="0" w:space="0" w:color="auto"/>
        <w:right w:val="none" w:sz="0" w:space="0" w:color="auto"/>
      </w:divBdr>
    </w:div>
    <w:div w:id="745028912">
      <w:bodyDiv w:val="1"/>
      <w:marLeft w:val="0"/>
      <w:marRight w:val="0"/>
      <w:marTop w:val="0"/>
      <w:marBottom w:val="0"/>
      <w:divBdr>
        <w:top w:val="none" w:sz="0" w:space="0" w:color="auto"/>
        <w:left w:val="none" w:sz="0" w:space="0" w:color="auto"/>
        <w:bottom w:val="none" w:sz="0" w:space="0" w:color="auto"/>
        <w:right w:val="none" w:sz="0" w:space="0" w:color="auto"/>
      </w:divBdr>
    </w:div>
    <w:div w:id="745226609">
      <w:bodyDiv w:val="1"/>
      <w:marLeft w:val="0"/>
      <w:marRight w:val="0"/>
      <w:marTop w:val="0"/>
      <w:marBottom w:val="0"/>
      <w:divBdr>
        <w:top w:val="none" w:sz="0" w:space="0" w:color="auto"/>
        <w:left w:val="none" w:sz="0" w:space="0" w:color="auto"/>
        <w:bottom w:val="none" w:sz="0" w:space="0" w:color="auto"/>
        <w:right w:val="none" w:sz="0" w:space="0" w:color="auto"/>
      </w:divBdr>
    </w:div>
    <w:div w:id="765611823">
      <w:bodyDiv w:val="1"/>
      <w:marLeft w:val="0"/>
      <w:marRight w:val="0"/>
      <w:marTop w:val="0"/>
      <w:marBottom w:val="0"/>
      <w:divBdr>
        <w:top w:val="none" w:sz="0" w:space="0" w:color="auto"/>
        <w:left w:val="none" w:sz="0" w:space="0" w:color="auto"/>
        <w:bottom w:val="none" w:sz="0" w:space="0" w:color="auto"/>
        <w:right w:val="none" w:sz="0" w:space="0" w:color="auto"/>
      </w:divBdr>
    </w:div>
    <w:div w:id="787087881">
      <w:bodyDiv w:val="1"/>
      <w:marLeft w:val="0"/>
      <w:marRight w:val="0"/>
      <w:marTop w:val="0"/>
      <w:marBottom w:val="0"/>
      <w:divBdr>
        <w:top w:val="none" w:sz="0" w:space="0" w:color="auto"/>
        <w:left w:val="none" w:sz="0" w:space="0" w:color="auto"/>
        <w:bottom w:val="none" w:sz="0" w:space="0" w:color="auto"/>
        <w:right w:val="none" w:sz="0" w:space="0" w:color="auto"/>
      </w:divBdr>
    </w:div>
    <w:div w:id="789977737">
      <w:bodyDiv w:val="1"/>
      <w:marLeft w:val="0"/>
      <w:marRight w:val="0"/>
      <w:marTop w:val="0"/>
      <w:marBottom w:val="0"/>
      <w:divBdr>
        <w:top w:val="none" w:sz="0" w:space="0" w:color="auto"/>
        <w:left w:val="none" w:sz="0" w:space="0" w:color="auto"/>
        <w:bottom w:val="none" w:sz="0" w:space="0" w:color="auto"/>
        <w:right w:val="none" w:sz="0" w:space="0" w:color="auto"/>
      </w:divBdr>
    </w:div>
    <w:div w:id="792020458">
      <w:bodyDiv w:val="1"/>
      <w:marLeft w:val="0"/>
      <w:marRight w:val="0"/>
      <w:marTop w:val="0"/>
      <w:marBottom w:val="0"/>
      <w:divBdr>
        <w:top w:val="none" w:sz="0" w:space="0" w:color="auto"/>
        <w:left w:val="none" w:sz="0" w:space="0" w:color="auto"/>
        <w:bottom w:val="none" w:sz="0" w:space="0" w:color="auto"/>
        <w:right w:val="none" w:sz="0" w:space="0" w:color="auto"/>
      </w:divBdr>
    </w:div>
    <w:div w:id="797140504">
      <w:bodyDiv w:val="1"/>
      <w:marLeft w:val="0"/>
      <w:marRight w:val="0"/>
      <w:marTop w:val="0"/>
      <w:marBottom w:val="0"/>
      <w:divBdr>
        <w:top w:val="none" w:sz="0" w:space="0" w:color="auto"/>
        <w:left w:val="none" w:sz="0" w:space="0" w:color="auto"/>
        <w:bottom w:val="none" w:sz="0" w:space="0" w:color="auto"/>
        <w:right w:val="none" w:sz="0" w:space="0" w:color="auto"/>
      </w:divBdr>
    </w:div>
    <w:div w:id="837765654">
      <w:bodyDiv w:val="1"/>
      <w:marLeft w:val="0"/>
      <w:marRight w:val="0"/>
      <w:marTop w:val="0"/>
      <w:marBottom w:val="0"/>
      <w:divBdr>
        <w:top w:val="none" w:sz="0" w:space="0" w:color="auto"/>
        <w:left w:val="none" w:sz="0" w:space="0" w:color="auto"/>
        <w:bottom w:val="none" w:sz="0" w:space="0" w:color="auto"/>
        <w:right w:val="none" w:sz="0" w:space="0" w:color="auto"/>
      </w:divBdr>
    </w:div>
    <w:div w:id="842819329">
      <w:bodyDiv w:val="1"/>
      <w:marLeft w:val="0"/>
      <w:marRight w:val="0"/>
      <w:marTop w:val="0"/>
      <w:marBottom w:val="0"/>
      <w:divBdr>
        <w:top w:val="none" w:sz="0" w:space="0" w:color="auto"/>
        <w:left w:val="none" w:sz="0" w:space="0" w:color="auto"/>
        <w:bottom w:val="none" w:sz="0" w:space="0" w:color="auto"/>
        <w:right w:val="none" w:sz="0" w:space="0" w:color="auto"/>
      </w:divBdr>
    </w:div>
    <w:div w:id="844594978">
      <w:bodyDiv w:val="1"/>
      <w:marLeft w:val="0"/>
      <w:marRight w:val="0"/>
      <w:marTop w:val="0"/>
      <w:marBottom w:val="0"/>
      <w:divBdr>
        <w:top w:val="none" w:sz="0" w:space="0" w:color="auto"/>
        <w:left w:val="none" w:sz="0" w:space="0" w:color="auto"/>
        <w:bottom w:val="none" w:sz="0" w:space="0" w:color="auto"/>
        <w:right w:val="none" w:sz="0" w:space="0" w:color="auto"/>
      </w:divBdr>
    </w:div>
    <w:div w:id="847211468">
      <w:bodyDiv w:val="1"/>
      <w:marLeft w:val="0"/>
      <w:marRight w:val="0"/>
      <w:marTop w:val="0"/>
      <w:marBottom w:val="0"/>
      <w:divBdr>
        <w:top w:val="none" w:sz="0" w:space="0" w:color="auto"/>
        <w:left w:val="none" w:sz="0" w:space="0" w:color="auto"/>
        <w:bottom w:val="none" w:sz="0" w:space="0" w:color="auto"/>
        <w:right w:val="none" w:sz="0" w:space="0" w:color="auto"/>
      </w:divBdr>
    </w:div>
    <w:div w:id="857505668">
      <w:bodyDiv w:val="1"/>
      <w:marLeft w:val="0"/>
      <w:marRight w:val="0"/>
      <w:marTop w:val="0"/>
      <w:marBottom w:val="0"/>
      <w:divBdr>
        <w:top w:val="none" w:sz="0" w:space="0" w:color="auto"/>
        <w:left w:val="none" w:sz="0" w:space="0" w:color="auto"/>
        <w:bottom w:val="none" w:sz="0" w:space="0" w:color="auto"/>
        <w:right w:val="none" w:sz="0" w:space="0" w:color="auto"/>
      </w:divBdr>
    </w:div>
    <w:div w:id="868564635">
      <w:bodyDiv w:val="1"/>
      <w:marLeft w:val="0"/>
      <w:marRight w:val="0"/>
      <w:marTop w:val="0"/>
      <w:marBottom w:val="0"/>
      <w:divBdr>
        <w:top w:val="none" w:sz="0" w:space="0" w:color="auto"/>
        <w:left w:val="none" w:sz="0" w:space="0" w:color="auto"/>
        <w:bottom w:val="none" w:sz="0" w:space="0" w:color="auto"/>
        <w:right w:val="none" w:sz="0" w:space="0" w:color="auto"/>
      </w:divBdr>
    </w:div>
    <w:div w:id="873033166">
      <w:bodyDiv w:val="1"/>
      <w:marLeft w:val="0"/>
      <w:marRight w:val="0"/>
      <w:marTop w:val="0"/>
      <w:marBottom w:val="0"/>
      <w:divBdr>
        <w:top w:val="none" w:sz="0" w:space="0" w:color="auto"/>
        <w:left w:val="none" w:sz="0" w:space="0" w:color="auto"/>
        <w:bottom w:val="none" w:sz="0" w:space="0" w:color="auto"/>
        <w:right w:val="none" w:sz="0" w:space="0" w:color="auto"/>
      </w:divBdr>
    </w:div>
    <w:div w:id="879586646">
      <w:bodyDiv w:val="1"/>
      <w:marLeft w:val="0"/>
      <w:marRight w:val="0"/>
      <w:marTop w:val="0"/>
      <w:marBottom w:val="0"/>
      <w:divBdr>
        <w:top w:val="none" w:sz="0" w:space="0" w:color="auto"/>
        <w:left w:val="none" w:sz="0" w:space="0" w:color="auto"/>
        <w:bottom w:val="none" w:sz="0" w:space="0" w:color="auto"/>
        <w:right w:val="none" w:sz="0" w:space="0" w:color="auto"/>
      </w:divBdr>
    </w:div>
    <w:div w:id="883709914">
      <w:bodyDiv w:val="1"/>
      <w:marLeft w:val="0"/>
      <w:marRight w:val="0"/>
      <w:marTop w:val="0"/>
      <w:marBottom w:val="0"/>
      <w:divBdr>
        <w:top w:val="none" w:sz="0" w:space="0" w:color="auto"/>
        <w:left w:val="none" w:sz="0" w:space="0" w:color="auto"/>
        <w:bottom w:val="none" w:sz="0" w:space="0" w:color="auto"/>
        <w:right w:val="none" w:sz="0" w:space="0" w:color="auto"/>
      </w:divBdr>
    </w:div>
    <w:div w:id="903177611">
      <w:bodyDiv w:val="1"/>
      <w:marLeft w:val="0"/>
      <w:marRight w:val="0"/>
      <w:marTop w:val="0"/>
      <w:marBottom w:val="0"/>
      <w:divBdr>
        <w:top w:val="none" w:sz="0" w:space="0" w:color="auto"/>
        <w:left w:val="none" w:sz="0" w:space="0" w:color="auto"/>
        <w:bottom w:val="none" w:sz="0" w:space="0" w:color="auto"/>
        <w:right w:val="none" w:sz="0" w:space="0" w:color="auto"/>
      </w:divBdr>
    </w:div>
    <w:div w:id="904605871">
      <w:bodyDiv w:val="1"/>
      <w:marLeft w:val="0"/>
      <w:marRight w:val="0"/>
      <w:marTop w:val="0"/>
      <w:marBottom w:val="0"/>
      <w:divBdr>
        <w:top w:val="none" w:sz="0" w:space="0" w:color="auto"/>
        <w:left w:val="none" w:sz="0" w:space="0" w:color="auto"/>
        <w:bottom w:val="none" w:sz="0" w:space="0" w:color="auto"/>
        <w:right w:val="none" w:sz="0" w:space="0" w:color="auto"/>
      </w:divBdr>
    </w:div>
    <w:div w:id="906304953">
      <w:bodyDiv w:val="1"/>
      <w:marLeft w:val="0"/>
      <w:marRight w:val="0"/>
      <w:marTop w:val="0"/>
      <w:marBottom w:val="0"/>
      <w:divBdr>
        <w:top w:val="none" w:sz="0" w:space="0" w:color="auto"/>
        <w:left w:val="none" w:sz="0" w:space="0" w:color="auto"/>
        <w:bottom w:val="none" w:sz="0" w:space="0" w:color="auto"/>
        <w:right w:val="none" w:sz="0" w:space="0" w:color="auto"/>
      </w:divBdr>
    </w:div>
    <w:div w:id="913586751">
      <w:bodyDiv w:val="1"/>
      <w:marLeft w:val="0"/>
      <w:marRight w:val="0"/>
      <w:marTop w:val="0"/>
      <w:marBottom w:val="0"/>
      <w:divBdr>
        <w:top w:val="none" w:sz="0" w:space="0" w:color="auto"/>
        <w:left w:val="none" w:sz="0" w:space="0" w:color="auto"/>
        <w:bottom w:val="none" w:sz="0" w:space="0" w:color="auto"/>
        <w:right w:val="none" w:sz="0" w:space="0" w:color="auto"/>
      </w:divBdr>
    </w:div>
    <w:div w:id="926496856">
      <w:bodyDiv w:val="1"/>
      <w:marLeft w:val="0"/>
      <w:marRight w:val="0"/>
      <w:marTop w:val="0"/>
      <w:marBottom w:val="0"/>
      <w:divBdr>
        <w:top w:val="none" w:sz="0" w:space="0" w:color="auto"/>
        <w:left w:val="none" w:sz="0" w:space="0" w:color="auto"/>
        <w:bottom w:val="none" w:sz="0" w:space="0" w:color="auto"/>
        <w:right w:val="none" w:sz="0" w:space="0" w:color="auto"/>
      </w:divBdr>
    </w:div>
    <w:div w:id="937913011">
      <w:bodyDiv w:val="1"/>
      <w:marLeft w:val="0"/>
      <w:marRight w:val="0"/>
      <w:marTop w:val="0"/>
      <w:marBottom w:val="0"/>
      <w:divBdr>
        <w:top w:val="none" w:sz="0" w:space="0" w:color="auto"/>
        <w:left w:val="none" w:sz="0" w:space="0" w:color="auto"/>
        <w:bottom w:val="none" w:sz="0" w:space="0" w:color="auto"/>
        <w:right w:val="none" w:sz="0" w:space="0" w:color="auto"/>
      </w:divBdr>
    </w:div>
    <w:div w:id="938490567">
      <w:bodyDiv w:val="1"/>
      <w:marLeft w:val="0"/>
      <w:marRight w:val="0"/>
      <w:marTop w:val="0"/>
      <w:marBottom w:val="0"/>
      <w:divBdr>
        <w:top w:val="none" w:sz="0" w:space="0" w:color="auto"/>
        <w:left w:val="none" w:sz="0" w:space="0" w:color="auto"/>
        <w:bottom w:val="none" w:sz="0" w:space="0" w:color="auto"/>
        <w:right w:val="none" w:sz="0" w:space="0" w:color="auto"/>
      </w:divBdr>
    </w:div>
    <w:div w:id="943002439">
      <w:bodyDiv w:val="1"/>
      <w:marLeft w:val="0"/>
      <w:marRight w:val="0"/>
      <w:marTop w:val="0"/>
      <w:marBottom w:val="0"/>
      <w:divBdr>
        <w:top w:val="none" w:sz="0" w:space="0" w:color="auto"/>
        <w:left w:val="none" w:sz="0" w:space="0" w:color="auto"/>
        <w:bottom w:val="none" w:sz="0" w:space="0" w:color="auto"/>
        <w:right w:val="none" w:sz="0" w:space="0" w:color="auto"/>
      </w:divBdr>
    </w:div>
    <w:div w:id="947003254">
      <w:bodyDiv w:val="1"/>
      <w:marLeft w:val="0"/>
      <w:marRight w:val="0"/>
      <w:marTop w:val="0"/>
      <w:marBottom w:val="0"/>
      <w:divBdr>
        <w:top w:val="none" w:sz="0" w:space="0" w:color="auto"/>
        <w:left w:val="none" w:sz="0" w:space="0" w:color="auto"/>
        <w:bottom w:val="none" w:sz="0" w:space="0" w:color="auto"/>
        <w:right w:val="none" w:sz="0" w:space="0" w:color="auto"/>
      </w:divBdr>
    </w:div>
    <w:div w:id="948200935">
      <w:bodyDiv w:val="1"/>
      <w:marLeft w:val="0"/>
      <w:marRight w:val="0"/>
      <w:marTop w:val="0"/>
      <w:marBottom w:val="0"/>
      <w:divBdr>
        <w:top w:val="none" w:sz="0" w:space="0" w:color="auto"/>
        <w:left w:val="none" w:sz="0" w:space="0" w:color="auto"/>
        <w:bottom w:val="none" w:sz="0" w:space="0" w:color="auto"/>
        <w:right w:val="none" w:sz="0" w:space="0" w:color="auto"/>
      </w:divBdr>
    </w:div>
    <w:div w:id="967010093">
      <w:bodyDiv w:val="1"/>
      <w:marLeft w:val="0"/>
      <w:marRight w:val="0"/>
      <w:marTop w:val="0"/>
      <w:marBottom w:val="0"/>
      <w:divBdr>
        <w:top w:val="none" w:sz="0" w:space="0" w:color="auto"/>
        <w:left w:val="none" w:sz="0" w:space="0" w:color="auto"/>
        <w:bottom w:val="none" w:sz="0" w:space="0" w:color="auto"/>
        <w:right w:val="none" w:sz="0" w:space="0" w:color="auto"/>
      </w:divBdr>
    </w:div>
    <w:div w:id="967393732">
      <w:bodyDiv w:val="1"/>
      <w:marLeft w:val="0"/>
      <w:marRight w:val="0"/>
      <w:marTop w:val="0"/>
      <w:marBottom w:val="0"/>
      <w:divBdr>
        <w:top w:val="none" w:sz="0" w:space="0" w:color="auto"/>
        <w:left w:val="none" w:sz="0" w:space="0" w:color="auto"/>
        <w:bottom w:val="none" w:sz="0" w:space="0" w:color="auto"/>
        <w:right w:val="none" w:sz="0" w:space="0" w:color="auto"/>
      </w:divBdr>
    </w:div>
    <w:div w:id="971406535">
      <w:bodyDiv w:val="1"/>
      <w:marLeft w:val="0"/>
      <w:marRight w:val="0"/>
      <w:marTop w:val="0"/>
      <w:marBottom w:val="0"/>
      <w:divBdr>
        <w:top w:val="none" w:sz="0" w:space="0" w:color="auto"/>
        <w:left w:val="none" w:sz="0" w:space="0" w:color="auto"/>
        <w:bottom w:val="none" w:sz="0" w:space="0" w:color="auto"/>
        <w:right w:val="none" w:sz="0" w:space="0" w:color="auto"/>
      </w:divBdr>
    </w:div>
    <w:div w:id="975836239">
      <w:bodyDiv w:val="1"/>
      <w:marLeft w:val="0"/>
      <w:marRight w:val="0"/>
      <w:marTop w:val="0"/>
      <w:marBottom w:val="0"/>
      <w:divBdr>
        <w:top w:val="none" w:sz="0" w:space="0" w:color="auto"/>
        <w:left w:val="none" w:sz="0" w:space="0" w:color="auto"/>
        <w:bottom w:val="none" w:sz="0" w:space="0" w:color="auto"/>
        <w:right w:val="none" w:sz="0" w:space="0" w:color="auto"/>
      </w:divBdr>
    </w:div>
    <w:div w:id="979532186">
      <w:bodyDiv w:val="1"/>
      <w:marLeft w:val="0"/>
      <w:marRight w:val="0"/>
      <w:marTop w:val="0"/>
      <w:marBottom w:val="0"/>
      <w:divBdr>
        <w:top w:val="none" w:sz="0" w:space="0" w:color="auto"/>
        <w:left w:val="none" w:sz="0" w:space="0" w:color="auto"/>
        <w:bottom w:val="none" w:sz="0" w:space="0" w:color="auto"/>
        <w:right w:val="none" w:sz="0" w:space="0" w:color="auto"/>
      </w:divBdr>
    </w:div>
    <w:div w:id="985083360">
      <w:bodyDiv w:val="1"/>
      <w:marLeft w:val="0"/>
      <w:marRight w:val="0"/>
      <w:marTop w:val="0"/>
      <w:marBottom w:val="0"/>
      <w:divBdr>
        <w:top w:val="none" w:sz="0" w:space="0" w:color="auto"/>
        <w:left w:val="none" w:sz="0" w:space="0" w:color="auto"/>
        <w:bottom w:val="none" w:sz="0" w:space="0" w:color="auto"/>
        <w:right w:val="none" w:sz="0" w:space="0" w:color="auto"/>
      </w:divBdr>
    </w:div>
    <w:div w:id="1004359750">
      <w:bodyDiv w:val="1"/>
      <w:marLeft w:val="0"/>
      <w:marRight w:val="0"/>
      <w:marTop w:val="0"/>
      <w:marBottom w:val="0"/>
      <w:divBdr>
        <w:top w:val="none" w:sz="0" w:space="0" w:color="auto"/>
        <w:left w:val="none" w:sz="0" w:space="0" w:color="auto"/>
        <w:bottom w:val="none" w:sz="0" w:space="0" w:color="auto"/>
        <w:right w:val="none" w:sz="0" w:space="0" w:color="auto"/>
      </w:divBdr>
    </w:div>
    <w:div w:id="1006832218">
      <w:bodyDiv w:val="1"/>
      <w:marLeft w:val="0"/>
      <w:marRight w:val="0"/>
      <w:marTop w:val="0"/>
      <w:marBottom w:val="0"/>
      <w:divBdr>
        <w:top w:val="none" w:sz="0" w:space="0" w:color="auto"/>
        <w:left w:val="none" w:sz="0" w:space="0" w:color="auto"/>
        <w:bottom w:val="none" w:sz="0" w:space="0" w:color="auto"/>
        <w:right w:val="none" w:sz="0" w:space="0" w:color="auto"/>
      </w:divBdr>
    </w:div>
    <w:div w:id="1008023431">
      <w:bodyDiv w:val="1"/>
      <w:marLeft w:val="0"/>
      <w:marRight w:val="0"/>
      <w:marTop w:val="0"/>
      <w:marBottom w:val="0"/>
      <w:divBdr>
        <w:top w:val="none" w:sz="0" w:space="0" w:color="auto"/>
        <w:left w:val="none" w:sz="0" w:space="0" w:color="auto"/>
        <w:bottom w:val="none" w:sz="0" w:space="0" w:color="auto"/>
        <w:right w:val="none" w:sz="0" w:space="0" w:color="auto"/>
      </w:divBdr>
    </w:div>
    <w:div w:id="1015033762">
      <w:bodyDiv w:val="1"/>
      <w:marLeft w:val="0"/>
      <w:marRight w:val="0"/>
      <w:marTop w:val="0"/>
      <w:marBottom w:val="0"/>
      <w:divBdr>
        <w:top w:val="none" w:sz="0" w:space="0" w:color="auto"/>
        <w:left w:val="none" w:sz="0" w:space="0" w:color="auto"/>
        <w:bottom w:val="none" w:sz="0" w:space="0" w:color="auto"/>
        <w:right w:val="none" w:sz="0" w:space="0" w:color="auto"/>
      </w:divBdr>
    </w:div>
    <w:div w:id="1023164603">
      <w:bodyDiv w:val="1"/>
      <w:marLeft w:val="0"/>
      <w:marRight w:val="0"/>
      <w:marTop w:val="0"/>
      <w:marBottom w:val="0"/>
      <w:divBdr>
        <w:top w:val="none" w:sz="0" w:space="0" w:color="auto"/>
        <w:left w:val="none" w:sz="0" w:space="0" w:color="auto"/>
        <w:bottom w:val="none" w:sz="0" w:space="0" w:color="auto"/>
        <w:right w:val="none" w:sz="0" w:space="0" w:color="auto"/>
      </w:divBdr>
    </w:div>
    <w:div w:id="1024667678">
      <w:bodyDiv w:val="1"/>
      <w:marLeft w:val="0"/>
      <w:marRight w:val="0"/>
      <w:marTop w:val="0"/>
      <w:marBottom w:val="0"/>
      <w:divBdr>
        <w:top w:val="none" w:sz="0" w:space="0" w:color="auto"/>
        <w:left w:val="none" w:sz="0" w:space="0" w:color="auto"/>
        <w:bottom w:val="none" w:sz="0" w:space="0" w:color="auto"/>
        <w:right w:val="none" w:sz="0" w:space="0" w:color="auto"/>
      </w:divBdr>
    </w:div>
    <w:div w:id="1032924065">
      <w:bodyDiv w:val="1"/>
      <w:marLeft w:val="0"/>
      <w:marRight w:val="0"/>
      <w:marTop w:val="0"/>
      <w:marBottom w:val="0"/>
      <w:divBdr>
        <w:top w:val="none" w:sz="0" w:space="0" w:color="auto"/>
        <w:left w:val="none" w:sz="0" w:space="0" w:color="auto"/>
        <w:bottom w:val="none" w:sz="0" w:space="0" w:color="auto"/>
        <w:right w:val="none" w:sz="0" w:space="0" w:color="auto"/>
      </w:divBdr>
    </w:div>
    <w:div w:id="1033306265">
      <w:bodyDiv w:val="1"/>
      <w:marLeft w:val="0"/>
      <w:marRight w:val="0"/>
      <w:marTop w:val="0"/>
      <w:marBottom w:val="0"/>
      <w:divBdr>
        <w:top w:val="none" w:sz="0" w:space="0" w:color="auto"/>
        <w:left w:val="none" w:sz="0" w:space="0" w:color="auto"/>
        <w:bottom w:val="none" w:sz="0" w:space="0" w:color="auto"/>
        <w:right w:val="none" w:sz="0" w:space="0" w:color="auto"/>
      </w:divBdr>
    </w:div>
    <w:div w:id="1045448657">
      <w:bodyDiv w:val="1"/>
      <w:marLeft w:val="0"/>
      <w:marRight w:val="0"/>
      <w:marTop w:val="0"/>
      <w:marBottom w:val="0"/>
      <w:divBdr>
        <w:top w:val="none" w:sz="0" w:space="0" w:color="auto"/>
        <w:left w:val="none" w:sz="0" w:space="0" w:color="auto"/>
        <w:bottom w:val="none" w:sz="0" w:space="0" w:color="auto"/>
        <w:right w:val="none" w:sz="0" w:space="0" w:color="auto"/>
      </w:divBdr>
    </w:div>
    <w:div w:id="1052119710">
      <w:bodyDiv w:val="1"/>
      <w:marLeft w:val="0"/>
      <w:marRight w:val="0"/>
      <w:marTop w:val="0"/>
      <w:marBottom w:val="0"/>
      <w:divBdr>
        <w:top w:val="none" w:sz="0" w:space="0" w:color="auto"/>
        <w:left w:val="none" w:sz="0" w:space="0" w:color="auto"/>
        <w:bottom w:val="none" w:sz="0" w:space="0" w:color="auto"/>
        <w:right w:val="none" w:sz="0" w:space="0" w:color="auto"/>
      </w:divBdr>
    </w:div>
    <w:div w:id="1053847214">
      <w:bodyDiv w:val="1"/>
      <w:marLeft w:val="0"/>
      <w:marRight w:val="0"/>
      <w:marTop w:val="0"/>
      <w:marBottom w:val="0"/>
      <w:divBdr>
        <w:top w:val="none" w:sz="0" w:space="0" w:color="auto"/>
        <w:left w:val="none" w:sz="0" w:space="0" w:color="auto"/>
        <w:bottom w:val="none" w:sz="0" w:space="0" w:color="auto"/>
        <w:right w:val="none" w:sz="0" w:space="0" w:color="auto"/>
      </w:divBdr>
    </w:div>
    <w:div w:id="1056733377">
      <w:bodyDiv w:val="1"/>
      <w:marLeft w:val="0"/>
      <w:marRight w:val="0"/>
      <w:marTop w:val="0"/>
      <w:marBottom w:val="0"/>
      <w:divBdr>
        <w:top w:val="none" w:sz="0" w:space="0" w:color="auto"/>
        <w:left w:val="none" w:sz="0" w:space="0" w:color="auto"/>
        <w:bottom w:val="none" w:sz="0" w:space="0" w:color="auto"/>
        <w:right w:val="none" w:sz="0" w:space="0" w:color="auto"/>
      </w:divBdr>
    </w:div>
    <w:div w:id="1061749722">
      <w:bodyDiv w:val="1"/>
      <w:marLeft w:val="0"/>
      <w:marRight w:val="0"/>
      <w:marTop w:val="0"/>
      <w:marBottom w:val="0"/>
      <w:divBdr>
        <w:top w:val="none" w:sz="0" w:space="0" w:color="auto"/>
        <w:left w:val="none" w:sz="0" w:space="0" w:color="auto"/>
        <w:bottom w:val="none" w:sz="0" w:space="0" w:color="auto"/>
        <w:right w:val="none" w:sz="0" w:space="0" w:color="auto"/>
      </w:divBdr>
    </w:div>
    <w:div w:id="1071924844">
      <w:bodyDiv w:val="1"/>
      <w:marLeft w:val="0"/>
      <w:marRight w:val="0"/>
      <w:marTop w:val="0"/>
      <w:marBottom w:val="0"/>
      <w:divBdr>
        <w:top w:val="none" w:sz="0" w:space="0" w:color="auto"/>
        <w:left w:val="none" w:sz="0" w:space="0" w:color="auto"/>
        <w:bottom w:val="none" w:sz="0" w:space="0" w:color="auto"/>
        <w:right w:val="none" w:sz="0" w:space="0" w:color="auto"/>
      </w:divBdr>
    </w:div>
    <w:div w:id="1076365887">
      <w:bodyDiv w:val="1"/>
      <w:marLeft w:val="0"/>
      <w:marRight w:val="0"/>
      <w:marTop w:val="0"/>
      <w:marBottom w:val="0"/>
      <w:divBdr>
        <w:top w:val="none" w:sz="0" w:space="0" w:color="auto"/>
        <w:left w:val="none" w:sz="0" w:space="0" w:color="auto"/>
        <w:bottom w:val="none" w:sz="0" w:space="0" w:color="auto"/>
        <w:right w:val="none" w:sz="0" w:space="0" w:color="auto"/>
      </w:divBdr>
    </w:div>
    <w:div w:id="1090538479">
      <w:bodyDiv w:val="1"/>
      <w:marLeft w:val="0"/>
      <w:marRight w:val="0"/>
      <w:marTop w:val="0"/>
      <w:marBottom w:val="0"/>
      <w:divBdr>
        <w:top w:val="none" w:sz="0" w:space="0" w:color="auto"/>
        <w:left w:val="none" w:sz="0" w:space="0" w:color="auto"/>
        <w:bottom w:val="none" w:sz="0" w:space="0" w:color="auto"/>
        <w:right w:val="none" w:sz="0" w:space="0" w:color="auto"/>
      </w:divBdr>
    </w:div>
    <w:div w:id="1119837453">
      <w:bodyDiv w:val="1"/>
      <w:marLeft w:val="0"/>
      <w:marRight w:val="0"/>
      <w:marTop w:val="0"/>
      <w:marBottom w:val="0"/>
      <w:divBdr>
        <w:top w:val="none" w:sz="0" w:space="0" w:color="auto"/>
        <w:left w:val="none" w:sz="0" w:space="0" w:color="auto"/>
        <w:bottom w:val="none" w:sz="0" w:space="0" w:color="auto"/>
        <w:right w:val="none" w:sz="0" w:space="0" w:color="auto"/>
      </w:divBdr>
    </w:div>
    <w:div w:id="1129663407">
      <w:bodyDiv w:val="1"/>
      <w:marLeft w:val="0"/>
      <w:marRight w:val="0"/>
      <w:marTop w:val="0"/>
      <w:marBottom w:val="0"/>
      <w:divBdr>
        <w:top w:val="none" w:sz="0" w:space="0" w:color="auto"/>
        <w:left w:val="none" w:sz="0" w:space="0" w:color="auto"/>
        <w:bottom w:val="none" w:sz="0" w:space="0" w:color="auto"/>
        <w:right w:val="none" w:sz="0" w:space="0" w:color="auto"/>
      </w:divBdr>
    </w:div>
    <w:div w:id="1145271810">
      <w:bodyDiv w:val="1"/>
      <w:marLeft w:val="0"/>
      <w:marRight w:val="0"/>
      <w:marTop w:val="0"/>
      <w:marBottom w:val="0"/>
      <w:divBdr>
        <w:top w:val="none" w:sz="0" w:space="0" w:color="auto"/>
        <w:left w:val="none" w:sz="0" w:space="0" w:color="auto"/>
        <w:bottom w:val="none" w:sz="0" w:space="0" w:color="auto"/>
        <w:right w:val="none" w:sz="0" w:space="0" w:color="auto"/>
      </w:divBdr>
    </w:div>
    <w:div w:id="1152599484">
      <w:bodyDiv w:val="1"/>
      <w:marLeft w:val="0"/>
      <w:marRight w:val="0"/>
      <w:marTop w:val="0"/>
      <w:marBottom w:val="0"/>
      <w:divBdr>
        <w:top w:val="none" w:sz="0" w:space="0" w:color="auto"/>
        <w:left w:val="none" w:sz="0" w:space="0" w:color="auto"/>
        <w:bottom w:val="none" w:sz="0" w:space="0" w:color="auto"/>
        <w:right w:val="none" w:sz="0" w:space="0" w:color="auto"/>
      </w:divBdr>
    </w:div>
    <w:div w:id="1164904479">
      <w:bodyDiv w:val="1"/>
      <w:marLeft w:val="0"/>
      <w:marRight w:val="0"/>
      <w:marTop w:val="0"/>
      <w:marBottom w:val="0"/>
      <w:divBdr>
        <w:top w:val="none" w:sz="0" w:space="0" w:color="auto"/>
        <w:left w:val="none" w:sz="0" w:space="0" w:color="auto"/>
        <w:bottom w:val="none" w:sz="0" w:space="0" w:color="auto"/>
        <w:right w:val="none" w:sz="0" w:space="0" w:color="auto"/>
      </w:divBdr>
    </w:div>
    <w:div w:id="1173839338">
      <w:bodyDiv w:val="1"/>
      <w:marLeft w:val="0"/>
      <w:marRight w:val="0"/>
      <w:marTop w:val="0"/>
      <w:marBottom w:val="0"/>
      <w:divBdr>
        <w:top w:val="none" w:sz="0" w:space="0" w:color="auto"/>
        <w:left w:val="none" w:sz="0" w:space="0" w:color="auto"/>
        <w:bottom w:val="none" w:sz="0" w:space="0" w:color="auto"/>
        <w:right w:val="none" w:sz="0" w:space="0" w:color="auto"/>
      </w:divBdr>
    </w:div>
    <w:div w:id="1188955294">
      <w:bodyDiv w:val="1"/>
      <w:marLeft w:val="0"/>
      <w:marRight w:val="0"/>
      <w:marTop w:val="0"/>
      <w:marBottom w:val="0"/>
      <w:divBdr>
        <w:top w:val="none" w:sz="0" w:space="0" w:color="auto"/>
        <w:left w:val="none" w:sz="0" w:space="0" w:color="auto"/>
        <w:bottom w:val="none" w:sz="0" w:space="0" w:color="auto"/>
        <w:right w:val="none" w:sz="0" w:space="0" w:color="auto"/>
      </w:divBdr>
    </w:div>
    <w:div w:id="1192039107">
      <w:bodyDiv w:val="1"/>
      <w:marLeft w:val="0"/>
      <w:marRight w:val="0"/>
      <w:marTop w:val="0"/>
      <w:marBottom w:val="0"/>
      <w:divBdr>
        <w:top w:val="none" w:sz="0" w:space="0" w:color="auto"/>
        <w:left w:val="none" w:sz="0" w:space="0" w:color="auto"/>
        <w:bottom w:val="none" w:sz="0" w:space="0" w:color="auto"/>
        <w:right w:val="none" w:sz="0" w:space="0" w:color="auto"/>
      </w:divBdr>
    </w:div>
    <w:div w:id="1196886699">
      <w:bodyDiv w:val="1"/>
      <w:marLeft w:val="0"/>
      <w:marRight w:val="0"/>
      <w:marTop w:val="0"/>
      <w:marBottom w:val="0"/>
      <w:divBdr>
        <w:top w:val="none" w:sz="0" w:space="0" w:color="auto"/>
        <w:left w:val="none" w:sz="0" w:space="0" w:color="auto"/>
        <w:bottom w:val="none" w:sz="0" w:space="0" w:color="auto"/>
        <w:right w:val="none" w:sz="0" w:space="0" w:color="auto"/>
      </w:divBdr>
    </w:div>
    <w:div w:id="1198809068">
      <w:bodyDiv w:val="1"/>
      <w:marLeft w:val="0"/>
      <w:marRight w:val="0"/>
      <w:marTop w:val="0"/>
      <w:marBottom w:val="0"/>
      <w:divBdr>
        <w:top w:val="none" w:sz="0" w:space="0" w:color="auto"/>
        <w:left w:val="none" w:sz="0" w:space="0" w:color="auto"/>
        <w:bottom w:val="none" w:sz="0" w:space="0" w:color="auto"/>
        <w:right w:val="none" w:sz="0" w:space="0" w:color="auto"/>
      </w:divBdr>
    </w:div>
    <w:div w:id="1201819339">
      <w:bodyDiv w:val="1"/>
      <w:marLeft w:val="0"/>
      <w:marRight w:val="0"/>
      <w:marTop w:val="0"/>
      <w:marBottom w:val="0"/>
      <w:divBdr>
        <w:top w:val="none" w:sz="0" w:space="0" w:color="auto"/>
        <w:left w:val="none" w:sz="0" w:space="0" w:color="auto"/>
        <w:bottom w:val="none" w:sz="0" w:space="0" w:color="auto"/>
        <w:right w:val="none" w:sz="0" w:space="0" w:color="auto"/>
      </w:divBdr>
    </w:div>
    <w:div w:id="1207058815">
      <w:bodyDiv w:val="1"/>
      <w:marLeft w:val="0"/>
      <w:marRight w:val="0"/>
      <w:marTop w:val="0"/>
      <w:marBottom w:val="0"/>
      <w:divBdr>
        <w:top w:val="none" w:sz="0" w:space="0" w:color="auto"/>
        <w:left w:val="none" w:sz="0" w:space="0" w:color="auto"/>
        <w:bottom w:val="none" w:sz="0" w:space="0" w:color="auto"/>
        <w:right w:val="none" w:sz="0" w:space="0" w:color="auto"/>
      </w:divBdr>
    </w:div>
    <w:div w:id="1208762773">
      <w:bodyDiv w:val="1"/>
      <w:marLeft w:val="0"/>
      <w:marRight w:val="0"/>
      <w:marTop w:val="0"/>
      <w:marBottom w:val="0"/>
      <w:divBdr>
        <w:top w:val="none" w:sz="0" w:space="0" w:color="auto"/>
        <w:left w:val="none" w:sz="0" w:space="0" w:color="auto"/>
        <w:bottom w:val="none" w:sz="0" w:space="0" w:color="auto"/>
        <w:right w:val="none" w:sz="0" w:space="0" w:color="auto"/>
      </w:divBdr>
    </w:div>
    <w:div w:id="1217009808">
      <w:bodyDiv w:val="1"/>
      <w:marLeft w:val="0"/>
      <w:marRight w:val="0"/>
      <w:marTop w:val="0"/>
      <w:marBottom w:val="0"/>
      <w:divBdr>
        <w:top w:val="none" w:sz="0" w:space="0" w:color="auto"/>
        <w:left w:val="none" w:sz="0" w:space="0" w:color="auto"/>
        <w:bottom w:val="none" w:sz="0" w:space="0" w:color="auto"/>
        <w:right w:val="none" w:sz="0" w:space="0" w:color="auto"/>
      </w:divBdr>
    </w:div>
    <w:div w:id="1217856485">
      <w:bodyDiv w:val="1"/>
      <w:marLeft w:val="0"/>
      <w:marRight w:val="0"/>
      <w:marTop w:val="0"/>
      <w:marBottom w:val="0"/>
      <w:divBdr>
        <w:top w:val="none" w:sz="0" w:space="0" w:color="auto"/>
        <w:left w:val="none" w:sz="0" w:space="0" w:color="auto"/>
        <w:bottom w:val="none" w:sz="0" w:space="0" w:color="auto"/>
        <w:right w:val="none" w:sz="0" w:space="0" w:color="auto"/>
      </w:divBdr>
    </w:div>
    <w:div w:id="1218199524">
      <w:bodyDiv w:val="1"/>
      <w:marLeft w:val="0"/>
      <w:marRight w:val="0"/>
      <w:marTop w:val="0"/>
      <w:marBottom w:val="0"/>
      <w:divBdr>
        <w:top w:val="none" w:sz="0" w:space="0" w:color="auto"/>
        <w:left w:val="none" w:sz="0" w:space="0" w:color="auto"/>
        <w:bottom w:val="none" w:sz="0" w:space="0" w:color="auto"/>
        <w:right w:val="none" w:sz="0" w:space="0" w:color="auto"/>
      </w:divBdr>
    </w:div>
    <w:div w:id="1222056033">
      <w:bodyDiv w:val="1"/>
      <w:marLeft w:val="0"/>
      <w:marRight w:val="0"/>
      <w:marTop w:val="0"/>
      <w:marBottom w:val="0"/>
      <w:divBdr>
        <w:top w:val="none" w:sz="0" w:space="0" w:color="auto"/>
        <w:left w:val="none" w:sz="0" w:space="0" w:color="auto"/>
        <w:bottom w:val="none" w:sz="0" w:space="0" w:color="auto"/>
        <w:right w:val="none" w:sz="0" w:space="0" w:color="auto"/>
      </w:divBdr>
    </w:div>
    <w:div w:id="1222908977">
      <w:bodyDiv w:val="1"/>
      <w:marLeft w:val="0"/>
      <w:marRight w:val="0"/>
      <w:marTop w:val="0"/>
      <w:marBottom w:val="0"/>
      <w:divBdr>
        <w:top w:val="none" w:sz="0" w:space="0" w:color="auto"/>
        <w:left w:val="none" w:sz="0" w:space="0" w:color="auto"/>
        <w:bottom w:val="none" w:sz="0" w:space="0" w:color="auto"/>
        <w:right w:val="none" w:sz="0" w:space="0" w:color="auto"/>
      </w:divBdr>
    </w:div>
    <w:div w:id="1228497202">
      <w:bodyDiv w:val="1"/>
      <w:marLeft w:val="0"/>
      <w:marRight w:val="0"/>
      <w:marTop w:val="0"/>
      <w:marBottom w:val="0"/>
      <w:divBdr>
        <w:top w:val="none" w:sz="0" w:space="0" w:color="auto"/>
        <w:left w:val="none" w:sz="0" w:space="0" w:color="auto"/>
        <w:bottom w:val="none" w:sz="0" w:space="0" w:color="auto"/>
        <w:right w:val="none" w:sz="0" w:space="0" w:color="auto"/>
      </w:divBdr>
    </w:div>
    <w:div w:id="1232933886">
      <w:bodyDiv w:val="1"/>
      <w:marLeft w:val="0"/>
      <w:marRight w:val="0"/>
      <w:marTop w:val="0"/>
      <w:marBottom w:val="0"/>
      <w:divBdr>
        <w:top w:val="none" w:sz="0" w:space="0" w:color="auto"/>
        <w:left w:val="none" w:sz="0" w:space="0" w:color="auto"/>
        <w:bottom w:val="none" w:sz="0" w:space="0" w:color="auto"/>
        <w:right w:val="none" w:sz="0" w:space="0" w:color="auto"/>
      </w:divBdr>
    </w:div>
    <w:div w:id="1244415048">
      <w:bodyDiv w:val="1"/>
      <w:marLeft w:val="0"/>
      <w:marRight w:val="0"/>
      <w:marTop w:val="0"/>
      <w:marBottom w:val="0"/>
      <w:divBdr>
        <w:top w:val="none" w:sz="0" w:space="0" w:color="auto"/>
        <w:left w:val="none" w:sz="0" w:space="0" w:color="auto"/>
        <w:bottom w:val="none" w:sz="0" w:space="0" w:color="auto"/>
        <w:right w:val="none" w:sz="0" w:space="0" w:color="auto"/>
      </w:divBdr>
    </w:div>
    <w:div w:id="1244529305">
      <w:bodyDiv w:val="1"/>
      <w:marLeft w:val="0"/>
      <w:marRight w:val="0"/>
      <w:marTop w:val="0"/>
      <w:marBottom w:val="0"/>
      <w:divBdr>
        <w:top w:val="none" w:sz="0" w:space="0" w:color="auto"/>
        <w:left w:val="none" w:sz="0" w:space="0" w:color="auto"/>
        <w:bottom w:val="none" w:sz="0" w:space="0" w:color="auto"/>
        <w:right w:val="none" w:sz="0" w:space="0" w:color="auto"/>
      </w:divBdr>
    </w:div>
    <w:div w:id="1249726805">
      <w:bodyDiv w:val="1"/>
      <w:marLeft w:val="0"/>
      <w:marRight w:val="0"/>
      <w:marTop w:val="0"/>
      <w:marBottom w:val="0"/>
      <w:divBdr>
        <w:top w:val="none" w:sz="0" w:space="0" w:color="auto"/>
        <w:left w:val="none" w:sz="0" w:space="0" w:color="auto"/>
        <w:bottom w:val="none" w:sz="0" w:space="0" w:color="auto"/>
        <w:right w:val="none" w:sz="0" w:space="0" w:color="auto"/>
      </w:divBdr>
    </w:div>
    <w:div w:id="1258711711">
      <w:bodyDiv w:val="1"/>
      <w:marLeft w:val="0"/>
      <w:marRight w:val="0"/>
      <w:marTop w:val="0"/>
      <w:marBottom w:val="0"/>
      <w:divBdr>
        <w:top w:val="none" w:sz="0" w:space="0" w:color="auto"/>
        <w:left w:val="none" w:sz="0" w:space="0" w:color="auto"/>
        <w:bottom w:val="none" w:sz="0" w:space="0" w:color="auto"/>
        <w:right w:val="none" w:sz="0" w:space="0" w:color="auto"/>
      </w:divBdr>
    </w:div>
    <w:div w:id="1265186605">
      <w:bodyDiv w:val="1"/>
      <w:marLeft w:val="0"/>
      <w:marRight w:val="0"/>
      <w:marTop w:val="0"/>
      <w:marBottom w:val="0"/>
      <w:divBdr>
        <w:top w:val="none" w:sz="0" w:space="0" w:color="auto"/>
        <w:left w:val="none" w:sz="0" w:space="0" w:color="auto"/>
        <w:bottom w:val="none" w:sz="0" w:space="0" w:color="auto"/>
        <w:right w:val="none" w:sz="0" w:space="0" w:color="auto"/>
      </w:divBdr>
    </w:div>
    <w:div w:id="1279607995">
      <w:bodyDiv w:val="1"/>
      <w:marLeft w:val="0"/>
      <w:marRight w:val="0"/>
      <w:marTop w:val="0"/>
      <w:marBottom w:val="0"/>
      <w:divBdr>
        <w:top w:val="none" w:sz="0" w:space="0" w:color="auto"/>
        <w:left w:val="none" w:sz="0" w:space="0" w:color="auto"/>
        <w:bottom w:val="none" w:sz="0" w:space="0" w:color="auto"/>
        <w:right w:val="none" w:sz="0" w:space="0" w:color="auto"/>
      </w:divBdr>
    </w:div>
    <w:div w:id="1294140464">
      <w:bodyDiv w:val="1"/>
      <w:marLeft w:val="0"/>
      <w:marRight w:val="0"/>
      <w:marTop w:val="0"/>
      <w:marBottom w:val="0"/>
      <w:divBdr>
        <w:top w:val="none" w:sz="0" w:space="0" w:color="auto"/>
        <w:left w:val="none" w:sz="0" w:space="0" w:color="auto"/>
        <w:bottom w:val="none" w:sz="0" w:space="0" w:color="auto"/>
        <w:right w:val="none" w:sz="0" w:space="0" w:color="auto"/>
      </w:divBdr>
    </w:div>
    <w:div w:id="1306931901">
      <w:bodyDiv w:val="1"/>
      <w:marLeft w:val="0"/>
      <w:marRight w:val="0"/>
      <w:marTop w:val="0"/>
      <w:marBottom w:val="0"/>
      <w:divBdr>
        <w:top w:val="none" w:sz="0" w:space="0" w:color="auto"/>
        <w:left w:val="none" w:sz="0" w:space="0" w:color="auto"/>
        <w:bottom w:val="none" w:sz="0" w:space="0" w:color="auto"/>
        <w:right w:val="none" w:sz="0" w:space="0" w:color="auto"/>
      </w:divBdr>
    </w:div>
    <w:div w:id="1313215197">
      <w:bodyDiv w:val="1"/>
      <w:marLeft w:val="0"/>
      <w:marRight w:val="0"/>
      <w:marTop w:val="0"/>
      <w:marBottom w:val="0"/>
      <w:divBdr>
        <w:top w:val="none" w:sz="0" w:space="0" w:color="auto"/>
        <w:left w:val="none" w:sz="0" w:space="0" w:color="auto"/>
        <w:bottom w:val="none" w:sz="0" w:space="0" w:color="auto"/>
        <w:right w:val="none" w:sz="0" w:space="0" w:color="auto"/>
      </w:divBdr>
    </w:div>
    <w:div w:id="1337658390">
      <w:bodyDiv w:val="1"/>
      <w:marLeft w:val="0"/>
      <w:marRight w:val="0"/>
      <w:marTop w:val="0"/>
      <w:marBottom w:val="0"/>
      <w:divBdr>
        <w:top w:val="none" w:sz="0" w:space="0" w:color="auto"/>
        <w:left w:val="none" w:sz="0" w:space="0" w:color="auto"/>
        <w:bottom w:val="none" w:sz="0" w:space="0" w:color="auto"/>
        <w:right w:val="none" w:sz="0" w:space="0" w:color="auto"/>
      </w:divBdr>
    </w:div>
    <w:div w:id="1338190420">
      <w:bodyDiv w:val="1"/>
      <w:marLeft w:val="0"/>
      <w:marRight w:val="0"/>
      <w:marTop w:val="0"/>
      <w:marBottom w:val="0"/>
      <w:divBdr>
        <w:top w:val="none" w:sz="0" w:space="0" w:color="auto"/>
        <w:left w:val="none" w:sz="0" w:space="0" w:color="auto"/>
        <w:bottom w:val="none" w:sz="0" w:space="0" w:color="auto"/>
        <w:right w:val="none" w:sz="0" w:space="0" w:color="auto"/>
      </w:divBdr>
    </w:div>
    <w:div w:id="1338773106">
      <w:bodyDiv w:val="1"/>
      <w:marLeft w:val="0"/>
      <w:marRight w:val="0"/>
      <w:marTop w:val="0"/>
      <w:marBottom w:val="0"/>
      <w:divBdr>
        <w:top w:val="none" w:sz="0" w:space="0" w:color="auto"/>
        <w:left w:val="none" w:sz="0" w:space="0" w:color="auto"/>
        <w:bottom w:val="none" w:sz="0" w:space="0" w:color="auto"/>
        <w:right w:val="none" w:sz="0" w:space="0" w:color="auto"/>
      </w:divBdr>
    </w:div>
    <w:div w:id="1352759597">
      <w:bodyDiv w:val="1"/>
      <w:marLeft w:val="0"/>
      <w:marRight w:val="0"/>
      <w:marTop w:val="0"/>
      <w:marBottom w:val="0"/>
      <w:divBdr>
        <w:top w:val="none" w:sz="0" w:space="0" w:color="auto"/>
        <w:left w:val="none" w:sz="0" w:space="0" w:color="auto"/>
        <w:bottom w:val="none" w:sz="0" w:space="0" w:color="auto"/>
        <w:right w:val="none" w:sz="0" w:space="0" w:color="auto"/>
      </w:divBdr>
    </w:div>
    <w:div w:id="1357267720">
      <w:bodyDiv w:val="1"/>
      <w:marLeft w:val="0"/>
      <w:marRight w:val="0"/>
      <w:marTop w:val="0"/>
      <w:marBottom w:val="0"/>
      <w:divBdr>
        <w:top w:val="none" w:sz="0" w:space="0" w:color="auto"/>
        <w:left w:val="none" w:sz="0" w:space="0" w:color="auto"/>
        <w:bottom w:val="none" w:sz="0" w:space="0" w:color="auto"/>
        <w:right w:val="none" w:sz="0" w:space="0" w:color="auto"/>
      </w:divBdr>
    </w:div>
    <w:div w:id="1357733428">
      <w:bodyDiv w:val="1"/>
      <w:marLeft w:val="0"/>
      <w:marRight w:val="0"/>
      <w:marTop w:val="0"/>
      <w:marBottom w:val="0"/>
      <w:divBdr>
        <w:top w:val="none" w:sz="0" w:space="0" w:color="auto"/>
        <w:left w:val="none" w:sz="0" w:space="0" w:color="auto"/>
        <w:bottom w:val="none" w:sz="0" w:space="0" w:color="auto"/>
        <w:right w:val="none" w:sz="0" w:space="0" w:color="auto"/>
      </w:divBdr>
    </w:div>
    <w:div w:id="1362434126">
      <w:bodyDiv w:val="1"/>
      <w:marLeft w:val="0"/>
      <w:marRight w:val="0"/>
      <w:marTop w:val="0"/>
      <w:marBottom w:val="0"/>
      <w:divBdr>
        <w:top w:val="none" w:sz="0" w:space="0" w:color="auto"/>
        <w:left w:val="none" w:sz="0" w:space="0" w:color="auto"/>
        <w:bottom w:val="none" w:sz="0" w:space="0" w:color="auto"/>
        <w:right w:val="none" w:sz="0" w:space="0" w:color="auto"/>
      </w:divBdr>
    </w:div>
    <w:div w:id="1370183648">
      <w:bodyDiv w:val="1"/>
      <w:marLeft w:val="0"/>
      <w:marRight w:val="0"/>
      <w:marTop w:val="0"/>
      <w:marBottom w:val="0"/>
      <w:divBdr>
        <w:top w:val="none" w:sz="0" w:space="0" w:color="auto"/>
        <w:left w:val="none" w:sz="0" w:space="0" w:color="auto"/>
        <w:bottom w:val="none" w:sz="0" w:space="0" w:color="auto"/>
        <w:right w:val="none" w:sz="0" w:space="0" w:color="auto"/>
      </w:divBdr>
    </w:div>
    <w:div w:id="1391732096">
      <w:bodyDiv w:val="1"/>
      <w:marLeft w:val="0"/>
      <w:marRight w:val="0"/>
      <w:marTop w:val="0"/>
      <w:marBottom w:val="0"/>
      <w:divBdr>
        <w:top w:val="none" w:sz="0" w:space="0" w:color="auto"/>
        <w:left w:val="none" w:sz="0" w:space="0" w:color="auto"/>
        <w:bottom w:val="none" w:sz="0" w:space="0" w:color="auto"/>
        <w:right w:val="none" w:sz="0" w:space="0" w:color="auto"/>
      </w:divBdr>
    </w:div>
    <w:div w:id="1399668771">
      <w:bodyDiv w:val="1"/>
      <w:marLeft w:val="0"/>
      <w:marRight w:val="0"/>
      <w:marTop w:val="0"/>
      <w:marBottom w:val="0"/>
      <w:divBdr>
        <w:top w:val="none" w:sz="0" w:space="0" w:color="auto"/>
        <w:left w:val="none" w:sz="0" w:space="0" w:color="auto"/>
        <w:bottom w:val="none" w:sz="0" w:space="0" w:color="auto"/>
        <w:right w:val="none" w:sz="0" w:space="0" w:color="auto"/>
      </w:divBdr>
    </w:div>
    <w:div w:id="1414276048">
      <w:bodyDiv w:val="1"/>
      <w:marLeft w:val="0"/>
      <w:marRight w:val="0"/>
      <w:marTop w:val="0"/>
      <w:marBottom w:val="0"/>
      <w:divBdr>
        <w:top w:val="none" w:sz="0" w:space="0" w:color="auto"/>
        <w:left w:val="none" w:sz="0" w:space="0" w:color="auto"/>
        <w:bottom w:val="none" w:sz="0" w:space="0" w:color="auto"/>
        <w:right w:val="none" w:sz="0" w:space="0" w:color="auto"/>
      </w:divBdr>
    </w:div>
    <w:div w:id="1423838826">
      <w:bodyDiv w:val="1"/>
      <w:marLeft w:val="0"/>
      <w:marRight w:val="0"/>
      <w:marTop w:val="0"/>
      <w:marBottom w:val="0"/>
      <w:divBdr>
        <w:top w:val="none" w:sz="0" w:space="0" w:color="auto"/>
        <w:left w:val="none" w:sz="0" w:space="0" w:color="auto"/>
        <w:bottom w:val="none" w:sz="0" w:space="0" w:color="auto"/>
        <w:right w:val="none" w:sz="0" w:space="0" w:color="auto"/>
      </w:divBdr>
    </w:div>
    <w:div w:id="1427843875">
      <w:bodyDiv w:val="1"/>
      <w:marLeft w:val="0"/>
      <w:marRight w:val="0"/>
      <w:marTop w:val="0"/>
      <w:marBottom w:val="0"/>
      <w:divBdr>
        <w:top w:val="none" w:sz="0" w:space="0" w:color="auto"/>
        <w:left w:val="none" w:sz="0" w:space="0" w:color="auto"/>
        <w:bottom w:val="none" w:sz="0" w:space="0" w:color="auto"/>
        <w:right w:val="none" w:sz="0" w:space="0" w:color="auto"/>
      </w:divBdr>
    </w:div>
    <w:div w:id="1438257471">
      <w:bodyDiv w:val="1"/>
      <w:marLeft w:val="0"/>
      <w:marRight w:val="0"/>
      <w:marTop w:val="0"/>
      <w:marBottom w:val="0"/>
      <w:divBdr>
        <w:top w:val="none" w:sz="0" w:space="0" w:color="auto"/>
        <w:left w:val="none" w:sz="0" w:space="0" w:color="auto"/>
        <w:bottom w:val="none" w:sz="0" w:space="0" w:color="auto"/>
        <w:right w:val="none" w:sz="0" w:space="0" w:color="auto"/>
      </w:divBdr>
    </w:div>
    <w:div w:id="1457220173">
      <w:bodyDiv w:val="1"/>
      <w:marLeft w:val="0"/>
      <w:marRight w:val="0"/>
      <w:marTop w:val="0"/>
      <w:marBottom w:val="0"/>
      <w:divBdr>
        <w:top w:val="none" w:sz="0" w:space="0" w:color="auto"/>
        <w:left w:val="none" w:sz="0" w:space="0" w:color="auto"/>
        <w:bottom w:val="none" w:sz="0" w:space="0" w:color="auto"/>
        <w:right w:val="none" w:sz="0" w:space="0" w:color="auto"/>
      </w:divBdr>
    </w:div>
    <w:div w:id="1457602192">
      <w:bodyDiv w:val="1"/>
      <w:marLeft w:val="0"/>
      <w:marRight w:val="0"/>
      <w:marTop w:val="0"/>
      <w:marBottom w:val="0"/>
      <w:divBdr>
        <w:top w:val="none" w:sz="0" w:space="0" w:color="auto"/>
        <w:left w:val="none" w:sz="0" w:space="0" w:color="auto"/>
        <w:bottom w:val="none" w:sz="0" w:space="0" w:color="auto"/>
        <w:right w:val="none" w:sz="0" w:space="0" w:color="auto"/>
      </w:divBdr>
    </w:div>
    <w:div w:id="1470896905">
      <w:bodyDiv w:val="1"/>
      <w:marLeft w:val="0"/>
      <w:marRight w:val="0"/>
      <w:marTop w:val="0"/>
      <w:marBottom w:val="0"/>
      <w:divBdr>
        <w:top w:val="none" w:sz="0" w:space="0" w:color="auto"/>
        <w:left w:val="none" w:sz="0" w:space="0" w:color="auto"/>
        <w:bottom w:val="none" w:sz="0" w:space="0" w:color="auto"/>
        <w:right w:val="none" w:sz="0" w:space="0" w:color="auto"/>
      </w:divBdr>
    </w:div>
    <w:div w:id="1471050566">
      <w:bodyDiv w:val="1"/>
      <w:marLeft w:val="0"/>
      <w:marRight w:val="0"/>
      <w:marTop w:val="0"/>
      <w:marBottom w:val="0"/>
      <w:divBdr>
        <w:top w:val="none" w:sz="0" w:space="0" w:color="auto"/>
        <w:left w:val="none" w:sz="0" w:space="0" w:color="auto"/>
        <w:bottom w:val="none" w:sz="0" w:space="0" w:color="auto"/>
        <w:right w:val="none" w:sz="0" w:space="0" w:color="auto"/>
      </w:divBdr>
    </w:div>
    <w:div w:id="1471287030">
      <w:bodyDiv w:val="1"/>
      <w:marLeft w:val="0"/>
      <w:marRight w:val="0"/>
      <w:marTop w:val="0"/>
      <w:marBottom w:val="0"/>
      <w:divBdr>
        <w:top w:val="none" w:sz="0" w:space="0" w:color="auto"/>
        <w:left w:val="none" w:sz="0" w:space="0" w:color="auto"/>
        <w:bottom w:val="none" w:sz="0" w:space="0" w:color="auto"/>
        <w:right w:val="none" w:sz="0" w:space="0" w:color="auto"/>
      </w:divBdr>
    </w:div>
    <w:div w:id="1492525074">
      <w:bodyDiv w:val="1"/>
      <w:marLeft w:val="0"/>
      <w:marRight w:val="0"/>
      <w:marTop w:val="0"/>
      <w:marBottom w:val="0"/>
      <w:divBdr>
        <w:top w:val="none" w:sz="0" w:space="0" w:color="auto"/>
        <w:left w:val="none" w:sz="0" w:space="0" w:color="auto"/>
        <w:bottom w:val="none" w:sz="0" w:space="0" w:color="auto"/>
        <w:right w:val="none" w:sz="0" w:space="0" w:color="auto"/>
      </w:divBdr>
    </w:div>
    <w:div w:id="1527057474">
      <w:bodyDiv w:val="1"/>
      <w:marLeft w:val="0"/>
      <w:marRight w:val="0"/>
      <w:marTop w:val="0"/>
      <w:marBottom w:val="0"/>
      <w:divBdr>
        <w:top w:val="none" w:sz="0" w:space="0" w:color="auto"/>
        <w:left w:val="none" w:sz="0" w:space="0" w:color="auto"/>
        <w:bottom w:val="none" w:sz="0" w:space="0" w:color="auto"/>
        <w:right w:val="none" w:sz="0" w:space="0" w:color="auto"/>
      </w:divBdr>
    </w:div>
    <w:div w:id="1533306865">
      <w:bodyDiv w:val="1"/>
      <w:marLeft w:val="0"/>
      <w:marRight w:val="0"/>
      <w:marTop w:val="0"/>
      <w:marBottom w:val="0"/>
      <w:divBdr>
        <w:top w:val="none" w:sz="0" w:space="0" w:color="auto"/>
        <w:left w:val="none" w:sz="0" w:space="0" w:color="auto"/>
        <w:bottom w:val="none" w:sz="0" w:space="0" w:color="auto"/>
        <w:right w:val="none" w:sz="0" w:space="0" w:color="auto"/>
      </w:divBdr>
    </w:div>
    <w:div w:id="1566454936">
      <w:bodyDiv w:val="1"/>
      <w:marLeft w:val="0"/>
      <w:marRight w:val="0"/>
      <w:marTop w:val="0"/>
      <w:marBottom w:val="0"/>
      <w:divBdr>
        <w:top w:val="none" w:sz="0" w:space="0" w:color="auto"/>
        <w:left w:val="none" w:sz="0" w:space="0" w:color="auto"/>
        <w:bottom w:val="none" w:sz="0" w:space="0" w:color="auto"/>
        <w:right w:val="none" w:sz="0" w:space="0" w:color="auto"/>
      </w:divBdr>
    </w:div>
    <w:div w:id="1579286592">
      <w:bodyDiv w:val="1"/>
      <w:marLeft w:val="0"/>
      <w:marRight w:val="0"/>
      <w:marTop w:val="0"/>
      <w:marBottom w:val="0"/>
      <w:divBdr>
        <w:top w:val="none" w:sz="0" w:space="0" w:color="auto"/>
        <w:left w:val="none" w:sz="0" w:space="0" w:color="auto"/>
        <w:bottom w:val="none" w:sz="0" w:space="0" w:color="auto"/>
        <w:right w:val="none" w:sz="0" w:space="0" w:color="auto"/>
      </w:divBdr>
    </w:div>
    <w:div w:id="1583678677">
      <w:bodyDiv w:val="1"/>
      <w:marLeft w:val="0"/>
      <w:marRight w:val="0"/>
      <w:marTop w:val="0"/>
      <w:marBottom w:val="0"/>
      <w:divBdr>
        <w:top w:val="none" w:sz="0" w:space="0" w:color="auto"/>
        <w:left w:val="none" w:sz="0" w:space="0" w:color="auto"/>
        <w:bottom w:val="none" w:sz="0" w:space="0" w:color="auto"/>
        <w:right w:val="none" w:sz="0" w:space="0" w:color="auto"/>
      </w:divBdr>
    </w:div>
    <w:div w:id="1584221424">
      <w:bodyDiv w:val="1"/>
      <w:marLeft w:val="0"/>
      <w:marRight w:val="0"/>
      <w:marTop w:val="0"/>
      <w:marBottom w:val="0"/>
      <w:divBdr>
        <w:top w:val="none" w:sz="0" w:space="0" w:color="auto"/>
        <w:left w:val="none" w:sz="0" w:space="0" w:color="auto"/>
        <w:bottom w:val="none" w:sz="0" w:space="0" w:color="auto"/>
        <w:right w:val="none" w:sz="0" w:space="0" w:color="auto"/>
      </w:divBdr>
    </w:div>
    <w:div w:id="1588349354">
      <w:bodyDiv w:val="1"/>
      <w:marLeft w:val="0"/>
      <w:marRight w:val="0"/>
      <w:marTop w:val="0"/>
      <w:marBottom w:val="0"/>
      <w:divBdr>
        <w:top w:val="none" w:sz="0" w:space="0" w:color="auto"/>
        <w:left w:val="none" w:sz="0" w:space="0" w:color="auto"/>
        <w:bottom w:val="none" w:sz="0" w:space="0" w:color="auto"/>
        <w:right w:val="none" w:sz="0" w:space="0" w:color="auto"/>
      </w:divBdr>
    </w:div>
    <w:div w:id="1593054125">
      <w:bodyDiv w:val="1"/>
      <w:marLeft w:val="0"/>
      <w:marRight w:val="0"/>
      <w:marTop w:val="0"/>
      <w:marBottom w:val="0"/>
      <w:divBdr>
        <w:top w:val="none" w:sz="0" w:space="0" w:color="auto"/>
        <w:left w:val="none" w:sz="0" w:space="0" w:color="auto"/>
        <w:bottom w:val="none" w:sz="0" w:space="0" w:color="auto"/>
        <w:right w:val="none" w:sz="0" w:space="0" w:color="auto"/>
      </w:divBdr>
    </w:div>
    <w:div w:id="1607883735">
      <w:bodyDiv w:val="1"/>
      <w:marLeft w:val="0"/>
      <w:marRight w:val="0"/>
      <w:marTop w:val="0"/>
      <w:marBottom w:val="0"/>
      <w:divBdr>
        <w:top w:val="none" w:sz="0" w:space="0" w:color="auto"/>
        <w:left w:val="none" w:sz="0" w:space="0" w:color="auto"/>
        <w:bottom w:val="none" w:sz="0" w:space="0" w:color="auto"/>
        <w:right w:val="none" w:sz="0" w:space="0" w:color="auto"/>
      </w:divBdr>
    </w:div>
    <w:div w:id="1617641120">
      <w:bodyDiv w:val="1"/>
      <w:marLeft w:val="0"/>
      <w:marRight w:val="0"/>
      <w:marTop w:val="0"/>
      <w:marBottom w:val="0"/>
      <w:divBdr>
        <w:top w:val="none" w:sz="0" w:space="0" w:color="auto"/>
        <w:left w:val="none" w:sz="0" w:space="0" w:color="auto"/>
        <w:bottom w:val="none" w:sz="0" w:space="0" w:color="auto"/>
        <w:right w:val="none" w:sz="0" w:space="0" w:color="auto"/>
      </w:divBdr>
    </w:div>
    <w:div w:id="1628703341">
      <w:bodyDiv w:val="1"/>
      <w:marLeft w:val="0"/>
      <w:marRight w:val="0"/>
      <w:marTop w:val="0"/>
      <w:marBottom w:val="0"/>
      <w:divBdr>
        <w:top w:val="none" w:sz="0" w:space="0" w:color="auto"/>
        <w:left w:val="none" w:sz="0" w:space="0" w:color="auto"/>
        <w:bottom w:val="none" w:sz="0" w:space="0" w:color="auto"/>
        <w:right w:val="none" w:sz="0" w:space="0" w:color="auto"/>
      </w:divBdr>
    </w:div>
    <w:div w:id="1630866090">
      <w:bodyDiv w:val="1"/>
      <w:marLeft w:val="0"/>
      <w:marRight w:val="0"/>
      <w:marTop w:val="0"/>
      <w:marBottom w:val="0"/>
      <w:divBdr>
        <w:top w:val="none" w:sz="0" w:space="0" w:color="auto"/>
        <w:left w:val="none" w:sz="0" w:space="0" w:color="auto"/>
        <w:bottom w:val="none" w:sz="0" w:space="0" w:color="auto"/>
        <w:right w:val="none" w:sz="0" w:space="0" w:color="auto"/>
      </w:divBdr>
    </w:div>
    <w:div w:id="1649355718">
      <w:bodyDiv w:val="1"/>
      <w:marLeft w:val="0"/>
      <w:marRight w:val="0"/>
      <w:marTop w:val="0"/>
      <w:marBottom w:val="0"/>
      <w:divBdr>
        <w:top w:val="none" w:sz="0" w:space="0" w:color="auto"/>
        <w:left w:val="none" w:sz="0" w:space="0" w:color="auto"/>
        <w:bottom w:val="none" w:sz="0" w:space="0" w:color="auto"/>
        <w:right w:val="none" w:sz="0" w:space="0" w:color="auto"/>
      </w:divBdr>
    </w:div>
    <w:div w:id="1665009309">
      <w:bodyDiv w:val="1"/>
      <w:marLeft w:val="0"/>
      <w:marRight w:val="0"/>
      <w:marTop w:val="0"/>
      <w:marBottom w:val="0"/>
      <w:divBdr>
        <w:top w:val="none" w:sz="0" w:space="0" w:color="auto"/>
        <w:left w:val="none" w:sz="0" w:space="0" w:color="auto"/>
        <w:bottom w:val="none" w:sz="0" w:space="0" w:color="auto"/>
        <w:right w:val="none" w:sz="0" w:space="0" w:color="auto"/>
      </w:divBdr>
    </w:div>
    <w:div w:id="1669822536">
      <w:bodyDiv w:val="1"/>
      <w:marLeft w:val="0"/>
      <w:marRight w:val="0"/>
      <w:marTop w:val="0"/>
      <w:marBottom w:val="0"/>
      <w:divBdr>
        <w:top w:val="none" w:sz="0" w:space="0" w:color="auto"/>
        <w:left w:val="none" w:sz="0" w:space="0" w:color="auto"/>
        <w:bottom w:val="none" w:sz="0" w:space="0" w:color="auto"/>
        <w:right w:val="none" w:sz="0" w:space="0" w:color="auto"/>
      </w:divBdr>
    </w:div>
    <w:div w:id="1673679215">
      <w:bodyDiv w:val="1"/>
      <w:marLeft w:val="0"/>
      <w:marRight w:val="0"/>
      <w:marTop w:val="0"/>
      <w:marBottom w:val="0"/>
      <w:divBdr>
        <w:top w:val="none" w:sz="0" w:space="0" w:color="auto"/>
        <w:left w:val="none" w:sz="0" w:space="0" w:color="auto"/>
        <w:bottom w:val="none" w:sz="0" w:space="0" w:color="auto"/>
        <w:right w:val="none" w:sz="0" w:space="0" w:color="auto"/>
      </w:divBdr>
    </w:div>
    <w:div w:id="1679968301">
      <w:bodyDiv w:val="1"/>
      <w:marLeft w:val="0"/>
      <w:marRight w:val="0"/>
      <w:marTop w:val="0"/>
      <w:marBottom w:val="0"/>
      <w:divBdr>
        <w:top w:val="none" w:sz="0" w:space="0" w:color="auto"/>
        <w:left w:val="none" w:sz="0" w:space="0" w:color="auto"/>
        <w:bottom w:val="none" w:sz="0" w:space="0" w:color="auto"/>
        <w:right w:val="none" w:sz="0" w:space="0" w:color="auto"/>
      </w:divBdr>
    </w:div>
    <w:div w:id="1681203456">
      <w:bodyDiv w:val="1"/>
      <w:marLeft w:val="0"/>
      <w:marRight w:val="0"/>
      <w:marTop w:val="0"/>
      <w:marBottom w:val="0"/>
      <w:divBdr>
        <w:top w:val="none" w:sz="0" w:space="0" w:color="auto"/>
        <w:left w:val="none" w:sz="0" w:space="0" w:color="auto"/>
        <w:bottom w:val="none" w:sz="0" w:space="0" w:color="auto"/>
        <w:right w:val="none" w:sz="0" w:space="0" w:color="auto"/>
      </w:divBdr>
    </w:div>
    <w:div w:id="1685355632">
      <w:bodyDiv w:val="1"/>
      <w:marLeft w:val="0"/>
      <w:marRight w:val="0"/>
      <w:marTop w:val="0"/>
      <w:marBottom w:val="0"/>
      <w:divBdr>
        <w:top w:val="none" w:sz="0" w:space="0" w:color="auto"/>
        <w:left w:val="none" w:sz="0" w:space="0" w:color="auto"/>
        <w:bottom w:val="none" w:sz="0" w:space="0" w:color="auto"/>
        <w:right w:val="none" w:sz="0" w:space="0" w:color="auto"/>
      </w:divBdr>
    </w:div>
    <w:div w:id="1690915207">
      <w:bodyDiv w:val="1"/>
      <w:marLeft w:val="0"/>
      <w:marRight w:val="0"/>
      <w:marTop w:val="0"/>
      <w:marBottom w:val="0"/>
      <w:divBdr>
        <w:top w:val="none" w:sz="0" w:space="0" w:color="auto"/>
        <w:left w:val="none" w:sz="0" w:space="0" w:color="auto"/>
        <w:bottom w:val="none" w:sz="0" w:space="0" w:color="auto"/>
        <w:right w:val="none" w:sz="0" w:space="0" w:color="auto"/>
      </w:divBdr>
    </w:div>
    <w:div w:id="1703435407">
      <w:bodyDiv w:val="1"/>
      <w:marLeft w:val="0"/>
      <w:marRight w:val="0"/>
      <w:marTop w:val="0"/>
      <w:marBottom w:val="0"/>
      <w:divBdr>
        <w:top w:val="none" w:sz="0" w:space="0" w:color="auto"/>
        <w:left w:val="none" w:sz="0" w:space="0" w:color="auto"/>
        <w:bottom w:val="none" w:sz="0" w:space="0" w:color="auto"/>
        <w:right w:val="none" w:sz="0" w:space="0" w:color="auto"/>
      </w:divBdr>
    </w:div>
    <w:div w:id="1713072987">
      <w:bodyDiv w:val="1"/>
      <w:marLeft w:val="0"/>
      <w:marRight w:val="0"/>
      <w:marTop w:val="0"/>
      <w:marBottom w:val="0"/>
      <w:divBdr>
        <w:top w:val="none" w:sz="0" w:space="0" w:color="auto"/>
        <w:left w:val="none" w:sz="0" w:space="0" w:color="auto"/>
        <w:bottom w:val="none" w:sz="0" w:space="0" w:color="auto"/>
        <w:right w:val="none" w:sz="0" w:space="0" w:color="auto"/>
      </w:divBdr>
    </w:div>
    <w:div w:id="1713656195">
      <w:bodyDiv w:val="1"/>
      <w:marLeft w:val="0"/>
      <w:marRight w:val="0"/>
      <w:marTop w:val="0"/>
      <w:marBottom w:val="0"/>
      <w:divBdr>
        <w:top w:val="none" w:sz="0" w:space="0" w:color="auto"/>
        <w:left w:val="none" w:sz="0" w:space="0" w:color="auto"/>
        <w:bottom w:val="none" w:sz="0" w:space="0" w:color="auto"/>
        <w:right w:val="none" w:sz="0" w:space="0" w:color="auto"/>
      </w:divBdr>
    </w:div>
    <w:div w:id="1716343537">
      <w:bodyDiv w:val="1"/>
      <w:marLeft w:val="0"/>
      <w:marRight w:val="0"/>
      <w:marTop w:val="0"/>
      <w:marBottom w:val="0"/>
      <w:divBdr>
        <w:top w:val="none" w:sz="0" w:space="0" w:color="auto"/>
        <w:left w:val="none" w:sz="0" w:space="0" w:color="auto"/>
        <w:bottom w:val="none" w:sz="0" w:space="0" w:color="auto"/>
        <w:right w:val="none" w:sz="0" w:space="0" w:color="auto"/>
      </w:divBdr>
    </w:div>
    <w:div w:id="1727681093">
      <w:bodyDiv w:val="1"/>
      <w:marLeft w:val="0"/>
      <w:marRight w:val="0"/>
      <w:marTop w:val="0"/>
      <w:marBottom w:val="0"/>
      <w:divBdr>
        <w:top w:val="none" w:sz="0" w:space="0" w:color="auto"/>
        <w:left w:val="none" w:sz="0" w:space="0" w:color="auto"/>
        <w:bottom w:val="none" w:sz="0" w:space="0" w:color="auto"/>
        <w:right w:val="none" w:sz="0" w:space="0" w:color="auto"/>
      </w:divBdr>
    </w:div>
    <w:div w:id="1730609532">
      <w:bodyDiv w:val="1"/>
      <w:marLeft w:val="0"/>
      <w:marRight w:val="0"/>
      <w:marTop w:val="0"/>
      <w:marBottom w:val="0"/>
      <w:divBdr>
        <w:top w:val="none" w:sz="0" w:space="0" w:color="auto"/>
        <w:left w:val="none" w:sz="0" w:space="0" w:color="auto"/>
        <w:bottom w:val="none" w:sz="0" w:space="0" w:color="auto"/>
        <w:right w:val="none" w:sz="0" w:space="0" w:color="auto"/>
      </w:divBdr>
    </w:div>
    <w:div w:id="1730690059">
      <w:bodyDiv w:val="1"/>
      <w:marLeft w:val="0"/>
      <w:marRight w:val="0"/>
      <w:marTop w:val="0"/>
      <w:marBottom w:val="0"/>
      <w:divBdr>
        <w:top w:val="none" w:sz="0" w:space="0" w:color="auto"/>
        <w:left w:val="none" w:sz="0" w:space="0" w:color="auto"/>
        <w:bottom w:val="none" w:sz="0" w:space="0" w:color="auto"/>
        <w:right w:val="none" w:sz="0" w:space="0" w:color="auto"/>
      </w:divBdr>
    </w:div>
    <w:div w:id="1736128179">
      <w:bodyDiv w:val="1"/>
      <w:marLeft w:val="0"/>
      <w:marRight w:val="0"/>
      <w:marTop w:val="0"/>
      <w:marBottom w:val="0"/>
      <w:divBdr>
        <w:top w:val="none" w:sz="0" w:space="0" w:color="auto"/>
        <w:left w:val="none" w:sz="0" w:space="0" w:color="auto"/>
        <w:bottom w:val="none" w:sz="0" w:space="0" w:color="auto"/>
        <w:right w:val="none" w:sz="0" w:space="0" w:color="auto"/>
      </w:divBdr>
    </w:div>
    <w:div w:id="1737700068">
      <w:bodyDiv w:val="1"/>
      <w:marLeft w:val="0"/>
      <w:marRight w:val="0"/>
      <w:marTop w:val="0"/>
      <w:marBottom w:val="0"/>
      <w:divBdr>
        <w:top w:val="none" w:sz="0" w:space="0" w:color="auto"/>
        <w:left w:val="none" w:sz="0" w:space="0" w:color="auto"/>
        <w:bottom w:val="none" w:sz="0" w:space="0" w:color="auto"/>
        <w:right w:val="none" w:sz="0" w:space="0" w:color="auto"/>
      </w:divBdr>
    </w:div>
    <w:div w:id="1749617909">
      <w:bodyDiv w:val="1"/>
      <w:marLeft w:val="0"/>
      <w:marRight w:val="0"/>
      <w:marTop w:val="0"/>
      <w:marBottom w:val="0"/>
      <w:divBdr>
        <w:top w:val="none" w:sz="0" w:space="0" w:color="auto"/>
        <w:left w:val="none" w:sz="0" w:space="0" w:color="auto"/>
        <w:bottom w:val="none" w:sz="0" w:space="0" w:color="auto"/>
        <w:right w:val="none" w:sz="0" w:space="0" w:color="auto"/>
      </w:divBdr>
    </w:div>
    <w:div w:id="1751345439">
      <w:bodyDiv w:val="1"/>
      <w:marLeft w:val="0"/>
      <w:marRight w:val="0"/>
      <w:marTop w:val="0"/>
      <w:marBottom w:val="0"/>
      <w:divBdr>
        <w:top w:val="none" w:sz="0" w:space="0" w:color="auto"/>
        <w:left w:val="none" w:sz="0" w:space="0" w:color="auto"/>
        <w:bottom w:val="none" w:sz="0" w:space="0" w:color="auto"/>
        <w:right w:val="none" w:sz="0" w:space="0" w:color="auto"/>
      </w:divBdr>
    </w:div>
    <w:div w:id="1762330998">
      <w:bodyDiv w:val="1"/>
      <w:marLeft w:val="0"/>
      <w:marRight w:val="0"/>
      <w:marTop w:val="0"/>
      <w:marBottom w:val="0"/>
      <w:divBdr>
        <w:top w:val="none" w:sz="0" w:space="0" w:color="auto"/>
        <w:left w:val="none" w:sz="0" w:space="0" w:color="auto"/>
        <w:bottom w:val="none" w:sz="0" w:space="0" w:color="auto"/>
        <w:right w:val="none" w:sz="0" w:space="0" w:color="auto"/>
      </w:divBdr>
    </w:div>
    <w:div w:id="1763719730">
      <w:bodyDiv w:val="1"/>
      <w:marLeft w:val="0"/>
      <w:marRight w:val="0"/>
      <w:marTop w:val="0"/>
      <w:marBottom w:val="0"/>
      <w:divBdr>
        <w:top w:val="none" w:sz="0" w:space="0" w:color="auto"/>
        <w:left w:val="none" w:sz="0" w:space="0" w:color="auto"/>
        <w:bottom w:val="none" w:sz="0" w:space="0" w:color="auto"/>
        <w:right w:val="none" w:sz="0" w:space="0" w:color="auto"/>
      </w:divBdr>
    </w:div>
    <w:div w:id="1769814356">
      <w:bodyDiv w:val="1"/>
      <w:marLeft w:val="0"/>
      <w:marRight w:val="0"/>
      <w:marTop w:val="0"/>
      <w:marBottom w:val="0"/>
      <w:divBdr>
        <w:top w:val="none" w:sz="0" w:space="0" w:color="auto"/>
        <w:left w:val="none" w:sz="0" w:space="0" w:color="auto"/>
        <w:bottom w:val="none" w:sz="0" w:space="0" w:color="auto"/>
        <w:right w:val="none" w:sz="0" w:space="0" w:color="auto"/>
      </w:divBdr>
    </w:div>
    <w:div w:id="1779060654">
      <w:bodyDiv w:val="1"/>
      <w:marLeft w:val="0"/>
      <w:marRight w:val="0"/>
      <w:marTop w:val="0"/>
      <w:marBottom w:val="0"/>
      <w:divBdr>
        <w:top w:val="none" w:sz="0" w:space="0" w:color="auto"/>
        <w:left w:val="none" w:sz="0" w:space="0" w:color="auto"/>
        <w:bottom w:val="none" w:sz="0" w:space="0" w:color="auto"/>
        <w:right w:val="none" w:sz="0" w:space="0" w:color="auto"/>
      </w:divBdr>
    </w:div>
    <w:div w:id="1791435569">
      <w:bodyDiv w:val="1"/>
      <w:marLeft w:val="0"/>
      <w:marRight w:val="0"/>
      <w:marTop w:val="0"/>
      <w:marBottom w:val="0"/>
      <w:divBdr>
        <w:top w:val="none" w:sz="0" w:space="0" w:color="auto"/>
        <w:left w:val="none" w:sz="0" w:space="0" w:color="auto"/>
        <w:bottom w:val="none" w:sz="0" w:space="0" w:color="auto"/>
        <w:right w:val="none" w:sz="0" w:space="0" w:color="auto"/>
      </w:divBdr>
    </w:div>
    <w:div w:id="1801145446">
      <w:bodyDiv w:val="1"/>
      <w:marLeft w:val="0"/>
      <w:marRight w:val="0"/>
      <w:marTop w:val="0"/>
      <w:marBottom w:val="0"/>
      <w:divBdr>
        <w:top w:val="none" w:sz="0" w:space="0" w:color="auto"/>
        <w:left w:val="none" w:sz="0" w:space="0" w:color="auto"/>
        <w:bottom w:val="none" w:sz="0" w:space="0" w:color="auto"/>
        <w:right w:val="none" w:sz="0" w:space="0" w:color="auto"/>
      </w:divBdr>
    </w:div>
    <w:div w:id="1801917898">
      <w:bodyDiv w:val="1"/>
      <w:marLeft w:val="0"/>
      <w:marRight w:val="0"/>
      <w:marTop w:val="0"/>
      <w:marBottom w:val="0"/>
      <w:divBdr>
        <w:top w:val="none" w:sz="0" w:space="0" w:color="auto"/>
        <w:left w:val="none" w:sz="0" w:space="0" w:color="auto"/>
        <w:bottom w:val="none" w:sz="0" w:space="0" w:color="auto"/>
        <w:right w:val="none" w:sz="0" w:space="0" w:color="auto"/>
      </w:divBdr>
    </w:div>
    <w:div w:id="1805539064">
      <w:bodyDiv w:val="1"/>
      <w:marLeft w:val="0"/>
      <w:marRight w:val="0"/>
      <w:marTop w:val="0"/>
      <w:marBottom w:val="0"/>
      <w:divBdr>
        <w:top w:val="none" w:sz="0" w:space="0" w:color="auto"/>
        <w:left w:val="none" w:sz="0" w:space="0" w:color="auto"/>
        <w:bottom w:val="none" w:sz="0" w:space="0" w:color="auto"/>
        <w:right w:val="none" w:sz="0" w:space="0" w:color="auto"/>
      </w:divBdr>
    </w:div>
    <w:div w:id="1818182976">
      <w:bodyDiv w:val="1"/>
      <w:marLeft w:val="0"/>
      <w:marRight w:val="0"/>
      <w:marTop w:val="0"/>
      <w:marBottom w:val="0"/>
      <w:divBdr>
        <w:top w:val="none" w:sz="0" w:space="0" w:color="auto"/>
        <w:left w:val="none" w:sz="0" w:space="0" w:color="auto"/>
        <w:bottom w:val="none" w:sz="0" w:space="0" w:color="auto"/>
        <w:right w:val="none" w:sz="0" w:space="0" w:color="auto"/>
      </w:divBdr>
    </w:div>
    <w:div w:id="1819224128">
      <w:bodyDiv w:val="1"/>
      <w:marLeft w:val="0"/>
      <w:marRight w:val="0"/>
      <w:marTop w:val="0"/>
      <w:marBottom w:val="0"/>
      <w:divBdr>
        <w:top w:val="none" w:sz="0" w:space="0" w:color="auto"/>
        <w:left w:val="none" w:sz="0" w:space="0" w:color="auto"/>
        <w:bottom w:val="none" w:sz="0" w:space="0" w:color="auto"/>
        <w:right w:val="none" w:sz="0" w:space="0" w:color="auto"/>
      </w:divBdr>
    </w:div>
    <w:div w:id="1826506702">
      <w:bodyDiv w:val="1"/>
      <w:marLeft w:val="0"/>
      <w:marRight w:val="0"/>
      <w:marTop w:val="0"/>
      <w:marBottom w:val="0"/>
      <w:divBdr>
        <w:top w:val="none" w:sz="0" w:space="0" w:color="auto"/>
        <w:left w:val="none" w:sz="0" w:space="0" w:color="auto"/>
        <w:bottom w:val="none" w:sz="0" w:space="0" w:color="auto"/>
        <w:right w:val="none" w:sz="0" w:space="0" w:color="auto"/>
      </w:divBdr>
    </w:div>
    <w:div w:id="1838616552">
      <w:bodyDiv w:val="1"/>
      <w:marLeft w:val="0"/>
      <w:marRight w:val="0"/>
      <w:marTop w:val="0"/>
      <w:marBottom w:val="0"/>
      <w:divBdr>
        <w:top w:val="none" w:sz="0" w:space="0" w:color="auto"/>
        <w:left w:val="none" w:sz="0" w:space="0" w:color="auto"/>
        <w:bottom w:val="none" w:sz="0" w:space="0" w:color="auto"/>
        <w:right w:val="none" w:sz="0" w:space="0" w:color="auto"/>
      </w:divBdr>
    </w:div>
    <w:div w:id="1855533630">
      <w:bodyDiv w:val="1"/>
      <w:marLeft w:val="0"/>
      <w:marRight w:val="0"/>
      <w:marTop w:val="0"/>
      <w:marBottom w:val="0"/>
      <w:divBdr>
        <w:top w:val="none" w:sz="0" w:space="0" w:color="auto"/>
        <w:left w:val="none" w:sz="0" w:space="0" w:color="auto"/>
        <w:bottom w:val="none" w:sz="0" w:space="0" w:color="auto"/>
        <w:right w:val="none" w:sz="0" w:space="0" w:color="auto"/>
      </w:divBdr>
    </w:div>
    <w:div w:id="1895114483">
      <w:bodyDiv w:val="1"/>
      <w:marLeft w:val="0"/>
      <w:marRight w:val="0"/>
      <w:marTop w:val="0"/>
      <w:marBottom w:val="0"/>
      <w:divBdr>
        <w:top w:val="none" w:sz="0" w:space="0" w:color="auto"/>
        <w:left w:val="none" w:sz="0" w:space="0" w:color="auto"/>
        <w:bottom w:val="none" w:sz="0" w:space="0" w:color="auto"/>
        <w:right w:val="none" w:sz="0" w:space="0" w:color="auto"/>
      </w:divBdr>
    </w:div>
    <w:div w:id="1902905517">
      <w:bodyDiv w:val="1"/>
      <w:marLeft w:val="0"/>
      <w:marRight w:val="0"/>
      <w:marTop w:val="0"/>
      <w:marBottom w:val="0"/>
      <w:divBdr>
        <w:top w:val="none" w:sz="0" w:space="0" w:color="auto"/>
        <w:left w:val="none" w:sz="0" w:space="0" w:color="auto"/>
        <w:bottom w:val="none" w:sz="0" w:space="0" w:color="auto"/>
        <w:right w:val="none" w:sz="0" w:space="0" w:color="auto"/>
      </w:divBdr>
    </w:div>
    <w:div w:id="1908219328">
      <w:bodyDiv w:val="1"/>
      <w:marLeft w:val="0"/>
      <w:marRight w:val="0"/>
      <w:marTop w:val="0"/>
      <w:marBottom w:val="0"/>
      <w:divBdr>
        <w:top w:val="none" w:sz="0" w:space="0" w:color="auto"/>
        <w:left w:val="none" w:sz="0" w:space="0" w:color="auto"/>
        <w:bottom w:val="none" w:sz="0" w:space="0" w:color="auto"/>
        <w:right w:val="none" w:sz="0" w:space="0" w:color="auto"/>
      </w:divBdr>
    </w:div>
    <w:div w:id="1949310104">
      <w:bodyDiv w:val="1"/>
      <w:marLeft w:val="0"/>
      <w:marRight w:val="0"/>
      <w:marTop w:val="0"/>
      <w:marBottom w:val="0"/>
      <w:divBdr>
        <w:top w:val="none" w:sz="0" w:space="0" w:color="auto"/>
        <w:left w:val="none" w:sz="0" w:space="0" w:color="auto"/>
        <w:bottom w:val="none" w:sz="0" w:space="0" w:color="auto"/>
        <w:right w:val="none" w:sz="0" w:space="0" w:color="auto"/>
      </w:divBdr>
    </w:div>
    <w:div w:id="1950775398">
      <w:bodyDiv w:val="1"/>
      <w:marLeft w:val="0"/>
      <w:marRight w:val="0"/>
      <w:marTop w:val="0"/>
      <w:marBottom w:val="0"/>
      <w:divBdr>
        <w:top w:val="none" w:sz="0" w:space="0" w:color="auto"/>
        <w:left w:val="none" w:sz="0" w:space="0" w:color="auto"/>
        <w:bottom w:val="none" w:sz="0" w:space="0" w:color="auto"/>
        <w:right w:val="none" w:sz="0" w:space="0" w:color="auto"/>
      </w:divBdr>
    </w:div>
    <w:div w:id="1964191135">
      <w:bodyDiv w:val="1"/>
      <w:marLeft w:val="0"/>
      <w:marRight w:val="0"/>
      <w:marTop w:val="0"/>
      <w:marBottom w:val="0"/>
      <w:divBdr>
        <w:top w:val="none" w:sz="0" w:space="0" w:color="auto"/>
        <w:left w:val="none" w:sz="0" w:space="0" w:color="auto"/>
        <w:bottom w:val="none" w:sz="0" w:space="0" w:color="auto"/>
        <w:right w:val="none" w:sz="0" w:space="0" w:color="auto"/>
      </w:divBdr>
    </w:div>
    <w:div w:id="1964340900">
      <w:bodyDiv w:val="1"/>
      <w:marLeft w:val="0"/>
      <w:marRight w:val="0"/>
      <w:marTop w:val="0"/>
      <w:marBottom w:val="0"/>
      <w:divBdr>
        <w:top w:val="none" w:sz="0" w:space="0" w:color="auto"/>
        <w:left w:val="none" w:sz="0" w:space="0" w:color="auto"/>
        <w:bottom w:val="none" w:sz="0" w:space="0" w:color="auto"/>
        <w:right w:val="none" w:sz="0" w:space="0" w:color="auto"/>
      </w:divBdr>
    </w:div>
    <w:div w:id="1978534327">
      <w:bodyDiv w:val="1"/>
      <w:marLeft w:val="0"/>
      <w:marRight w:val="0"/>
      <w:marTop w:val="0"/>
      <w:marBottom w:val="0"/>
      <w:divBdr>
        <w:top w:val="none" w:sz="0" w:space="0" w:color="auto"/>
        <w:left w:val="none" w:sz="0" w:space="0" w:color="auto"/>
        <w:bottom w:val="none" w:sz="0" w:space="0" w:color="auto"/>
        <w:right w:val="none" w:sz="0" w:space="0" w:color="auto"/>
      </w:divBdr>
    </w:div>
    <w:div w:id="1980062929">
      <w:bodyDiv w:val="1"/>
      <w:marLeft w:val="0"/>
      <w:marRight w:val="0"/>
      <w:marTop w:val="0"/>
      <w:marBottom w:val="0"/>
      <w:divBdr>
        <w:top w:val="none" w:sz="0" w:space="0" w:color="auto"/>
        <w:left w:val="none" w:sz="0" w:space="0" w:color="auto"/>
        <w:bottom w:val="none" w:sz="0" w:space="0" w:color="auto"/>
        <w:right w:val="none" w:sz="0" w:space="0" w:color="auto"/>
      </w:divBdr>
    </w:div>
    <w:div w:id="1992826893">
      <w:bodyDiv w:val="1"/>
      <w:marLeft w:val="0"/>
      <w:marRight w:val="0"/>
      <w:marTop w:val="0"/>
      <w:marBottom w:val="0"/>
      <w:divBdr>
        <w:top w:val="none" w:sz="0" w:space="0" w:color="auto"/>
        <w:left w:val="none" w:sz="0" w:space="0" w:color="auto"/>
        <w:bottom w:val="none" w:sz="0" w:space="0" w:color="auto"/>
        <w:right w:val="none" w:sz="0" w:space="0" w:color="auto"/>
      </w:divBdr>
    </w:div>
    <w:div w:id="2005933565">
      <w:bodyDiv w:val="1"/>
      <w:marLeft w:val="0"/>
      <w:marRight w:val="0"/>
      <w:marTop w:val="0"/>
      <w:marBottom w:val="0"/>
      <w:divBdr>
        <w:top w:val="none" w:sz="0" w:space="0" w:color="auto"/>
        <w:left w:val="none" w:sz="0" w:space="0" w:color="auto"/>
        <w:bottom w:val="none" w:sz="0" w:space="0" w:color="auto"/>
        <w:right w:val="none" w:sz="0" w:space="0" w:color="auto"/>
      </w:divBdr>
    </w:div>
    <w:div w:id="2007050562">
      <w:bodyDiv w:val="1"/>
      <w:marLeft w:val="0"/>
      <w:marRight w:val="0"/>
      <w:marTop w:val="0"/>
      <w:marBottom w:val="0"/>
      <w:divBdr>
        <w:top w:val="none" w:sz="0" w:space="0" w:color="auto"/>
        <w:left w:val="none" w:sz="0" w:space="0" w:color="auto"/>
        <w:bottom w:val="none" w:sz="0" w:space="0" w:color="auto"/>
        <w:right w:val="none" w:sz="0" w:space="0" w:color="auto"/>
      </w:divBdr>
    </w:div>
    <w:div w:id="2016228526">
      <w:bodyDiv w:val="1"/>
      <w:marLeft w:val="0"/>
      <w:marRight w:val="0"/>
      <w:marTop w:val="0"/>
      <w:marBottom w:val="0"/>
      <w:divBdr>
        <w:top w:val="none" w:sz="0" w:space="0" w:color="auto"/>
        <w:left w:val="none" w:sz="0" w:space="0" w:color="auto"/>
        <w:bottom w:val="none" w:sz="0" w:space="0" w:color="auto"/>
        <w:right w:val="none" w:sz="0" w:space="0" w:color="auto"/>
      </w:divBdr>
    </w:div>
    <w:div w:id="2017221553">
      <w:bodyDiv w:val="1"/>
      <w:marLeft w:val="0"/>
      <w:marRight w:val="0"/>
      <w:marTop w:val="0"/>
      <w:marBottom w:val="0"/>
      <w:divBdr>
        <w:top w:val="none" w:sz="0" w:space="0" w:color="auto"/>
        <w:left w:val="none" w:sz="0" w:space="0" w:color="auto"/>
        <w:bottom w:val="none" w:sz="0" w:space="0" w:color="auto"/>
        <w:right w:val="none" w:sz="0" w:space="0" w:color="auto"/>
      </w:divBdr>
    </w:div>
    <w:div w:id="2018919965">
      <w:bodyDiv w:val="1"/>
      <w:marLeft w:val="0"/>
      <w:marRight w:val="0"/>
      <w:marTop w:val="0"/>
      <w:marBottom w:val="0"/>
      <w:divBdr>
        <w:top w:val="none" w:sz="0" w:space="0" w:color="auto"/>
        <w:left w:val="none" w:sz="0" w:space="0" w:color="auto"/>
        <w:bottom w:val="none" w:sz="0" w:space="0" w:color="auto"/>
        <w:right w:val="none" w:sz="0" w:space="0" w:color="auto"/>
      </w:divBdr>
    </w:div>
    <w:div w:id="2021815692">
      <w:bodyDiv w:val="1"/>
      <w:marLeft w:val="0"/>
      <w:marRight w:val="0"/>
      <w:marTop w:val="0"/>
      <w:marBottom w:val="0"/>
      <w:divBdr>
        <w:top w:val="none" w:sz="0" w:space="0" w:color="auto"/>
        <w:left w:val="none" w:sz="0" w:space="0" w:color="auto"/>
        <w:bottom w:val="none" w:sz="0" w:space="0" w:color="auto"/>
        <w:right w:val="none" w:sz="0" w:space="0" w:color="auto"/>
      </w:divBdr>
    </w:div>
    <w:div w:id="2033341385">
      <w:bodyDiv w:val="1"/>
      <w:marLeft w:val="0"/>
      <w:marRight w:val="0"/>
      <w:marTop w:val="0"/>
      <w:marBottom w:val="0"/>
      <w:divBdr>
        <w:top w:val="none" w:sz="0" w:space="0" w:color="auto"/>
        <w:left w:val="none" w:sz="0" w:space="0" w:color="auto"/>
        <w:bottom w:val="none" w:sz="0" w:space="0" w:color="auto"/>
        <w:right w:val="none" w:sz="0" w:space="0" w:color="auto"/>
      </w:divBdr>
    </w:div>
    <w:div w:id="2044330357">
      <w:bodyDiv w:val="1"/>
      <w:marLeft w:val="0"/>
      <w:marRight w:val="0"/>
      <w:marTop w:val="0"/>
      <w:marBottom w:val="0"/>
      <w:divBdr>
        <w:top w:val="none" w:sz="0" w:space="0" w:color="auto"/>
        <w:left w:val="none" w:sz="0" w:space="0" w:color="auto"/>
        <w:bottom w:val="none" w:sz="0" w:space="0" w:color="auto"/>
        <w:right w:val="none" w:sz="0" w:space="0" w:color="auto"/>
      </w:divBdr>
    </w:div>
    <w:div w:id="2044750259">
      <w:bodyDiv w:val="1"/>
      <w:marLeft w:val="0"/>
      <w:marRight w:val="0"/>
      <w:marTop w:val="0"/>
      <w:marBottom w:val="0"/>
      <w:divBdr>
        <w:top w:val="none" w:sz="0" w:space="0" w:color="auto"/>
        <w:left w:val="none" w:sz="0" w:space="0" w:color="auto"/>
        <w:bottom w:val="none" w:sz="0" w:space="0" w:color="auto"/>
        <w:right w:val="none" w:sz="0" w:space="0" w:color="auto"/>
      </w:divBdr>
    </w:div>
    <w:div w:id="2047755501">
      <w:bodyDiv w:val="1"/>
      <w:marLeft w:val="0"/>
      <w:marRight w:val="0"/>
      <w:marTop w:val="0"/>
      <w:marBottom w:val="0"/>
      <w:divBdr>
        <w:top w:val="none" w:sz="0" w:space="0" w:color="auto"/>
        <w:left w:val="none" w:sz="0" w:space="0" w:color="auto"/>
        <w:bottom w:val="none" w:sz="0" w:space="0" w:color="auto"/>
        <w:right w:val="none" w:sz="0" w:space="0" w:color="auto"/>
      </w:divBdr>
    </w:div>
    <w:div w:id="2063941914">
      <w:bodyDiv w:val="1"/>
      <w:marLeft w:val="0"/>
      <w:marRight w:val="0"/>
      <w:marTop w:val="0"/>
      <w:marBottom w:val="0"/>
      <w:divBdr>
        <w:top w:val="none" w:sz="0" w:space="0" w:color="auto"/>
        <w:left w:val="none" w:sz="0" w:space="0" w:color="auto"/>
        <w:bottom w:val="none" w:sz="0" w:space="0" w:color="auto"/>
        <w:right w:val="none" w:sz="0" w:space="0" w:color="auto"/>
      </w:divBdr>
    </w:div>
    <w:div w:id="2076774655">
      <w:bodyDiv w:val="1"/>
      <w:marLeft w:val="0"/>
      <w:marRight w:val="0"/>
      <w:marTop w:val="0"/>
      <w:marBottom w:val="0"/>
      <w:divBdr>
        <w:top w:val="none" w:sz="0" w:space="0" w:color="auto"/>
        <w:left w:val="none" w:sz="0" w:space="0" w:color="auto"/>
        <w:bottom w:val="none" w:sz="0" w:space="0" w:color="auto"/>
        <w:right w:val="none" w:sz="0" w:space="0" w:color="auto"/>
      </w:divBdr>
    </w:div>
    <w:div w:id="2119370182">
      <w:bodyDiv w:val="1"/>
      <w:marLeft w:val="0"/>
      <w:marRight w:val="0"/>
      <w:marTop w:val="0"/>
      <w:marBottom w:val="0"/>
      <w:divBdr>
        <w:top w:val="none" w:sz="0" w:space="0" w:color="auto"/>
        <w:left w:val="none" w:sz="0" w:space="0" w:color="auto"/>
        <w:bottom w:val="none" w:sz="0" w:space="0" w:color="auto"/>
        <w:right w:val="none" w:sz="0" w:space="0" w:color="auto"/>
      </w:divBdr>
    </w:div>
    <w:div w:id="2125999987">
      <w:bodyDiv w:val="1"/>
      <w:marLeft w:val="0"/>
      <w:marRight w:val="0"/>
      <w:marTop w:val="0"/>
      <w:marBottom w:val="0"/>
      <w:divBdr>
        <w:top w:val="none" w:sz="0" w:space="0" w:color="auto"/>
        <w:left w:val="none" w:sz="0" w:space="0" w:color="auto"/>
        <w:bottom w:val="none" w:sz="0" w:space="0" w:color="auto"/>
        <w:right w:val="none" w:sz="0" w:space="0" w:color="auto"/>
      </w:divBdr>
    </w:div>
    <w:div w:id="2139760088">
      <w:bodyDiv w:val="1"/>
      <w:marLeft w:val="0"/>
      <w:marRight w:val="0"/>
      <w:marTop w:val="0"/>
      <w:marBottom w:val="0"/>
      <w:divBdr>
        <w:top w:val="none" w:sz="0" w:space="0" w:color="auto"/>
        <w:left w:val="none" w:sz="0" w:space="0" w:color="auto"/>
        <w:bottom w:val="none" w:sz="0" w:space="0" w:color="auto"/>
        <w:right w:val="none" w:sz="0" w:space="0" w:color="auto"/>
      </w:divBdr>
    </w:div>
    <w:div w:id="2140562890">
      <w:bodyDiv w:val="1"/>
      <w:marLeft w:val="0"/>
      <w:marRight w:val="0"/>
      <w:marTop w:val="0"/>
      <w:marBottom w:val="0"/>
      <w:divBdr>
        <w:top w:val="none" w:sz="0" w:space="0" w:color="auto"/>
        <w:left w:val="none" w:sz="0" w:space="0" w:color="auto"/>
        <w:bottom w:val="none" w:sz="0" w:space="0" w:color="auto"/>
        <w:right w:val="none" w:sz="0" w:space="0" w:color="auto"/>
      </w:divBdr>
    </w:div>
    <w:div w:id="2140755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microsoft.com/office/2007/relationships/hdphoto" Target="media/hdphoto2.wdp"/><Relationship Id="rId42" Type="http://schemas.openxmlformats.org/officeDocument/2006/relationships/image" Target="media/image23.jpeg"/><Relationship Id="rId47" Type="http://schemas.openxmlformats.org/officeDocument/2006/relationships/chart" Target="charts/chart7.xml"/><Relationship Id="rId63" Type="http://schemas.openxmlformats.org/officeDocument/2006/relationships/chart" Target="charts/chart16.xml"/><Relationship Id="rId68" Type="http://schemas.openxmlformats.org/officeDocument/2006/relationships/chart" Target="charts/chart21.xml"/><Relationship Id="rId16" Type="http://schemas.openxmlformats.org/officeDocument/2006/relationships/footer" Target="footer3.xml"/><Relationship Id="rId11" Type="http://schemas.openxmlformats.org/officeDocument/2006/relationships/image" Target="media/image3.png"/><Relationship Id="rId32" Type="http://schemas.openxmlformats.org/officeDocument/2006/relationships/image" Target="media/image16.jpeg"/><Relationship Id="rId37" Type="http://schemas.openxmlformats.org/officeDocument/2006/relationships/image" Target="media/image20.png"/><Relationship Id="rId53" Type="http://schemas.openxmlformats.org/officeDocument/2006/relationships/image" Target="media/image29.png"/><Relationship Id="rId58" Type="http://schemas.openxmlformats.org/officeDocument/2006/relationships/chart" Target="charts/chart12.xml"/><Relationship Id="rId74" Type="http://schemas.openxmlformats.org/officeDocument/2006/relationships/chart" Target="charts/chart26.xml"/><Relationship Id="rId79"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chart" Target="charts/chart5.xml"/><Relationship Id="rId48" Type="http://schemas.openxmlformats.org/officeDocument/2006/relationships/chart" Target="charts/chart8.xml"/><Relationship Id="rId56" Type="http://schemas.openxmlformats.org/officeDocument/2006/relationships/chart" Target="charts/chart10.xml"/><Relationship Id="rId64" Type="http://schemas.openxmlformats.org/officeDocument/2006/relationships/chart" Target="charts/chart17.xml"/><Relationship Id="rId69" Type="http://schemas.openxmlformats.org/officeDocument/2006/relationships/image" Target="media/image32.jpeg"/><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chart" Target="charts/chart24.xml"/><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chart" Target="charts/chart2.xml"/><Relationship Id="rId38" Type="http://schemas.openxmlformats.org/officeDocument/2006/relationships/image" Target="media/image21.png"/><Relationship Id="rId46" Type="http://schemas.openxmlformats.org/officeDocument/2006/relationships/chart" Target="charts/chart6.xml"/><Relationship Id="rId59" Type="http://schemas.openxmlformats.org/officeDocument/2006/relationships/chart" Target="charts/chart13.xml"/><Relationship Id="rId67" Type="http://schemas.openxmlformats.org/officeDocument/2006/relationships/chart" Target="charts/chart20.xml"/><Relationship Id="rId20" Type="http://schemas.openxmlformats.org/officeDocument/2006/relationships/image" Target="media/image8.jpeg"/><Relationship Id="rId41" Type="http://schemas.openxmlformats.org/officeDocument/2006/relationships/chart" Target="charts/chart4.xml"/><Relationship Id="rId54" Type="http://schemas.openxmlformats.org/officeDocument/2006/relationships/image" Target="media/image290.png"/><Relationship Id="rId62" Type="http://schemas.openxmlformats.org/officeDocument/2006/relationships/chart" Target="charts/chart15.xml"/><Relationship Id="rId70" Type="http://schemas.openxmlformats.org/officeDocument/2006/relationships/chart" Target="charts/chart22.xml"/><Relationship Id="rId75"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file:///C:\Users\BPS\Downloads\DATA%20TERPILAH%20GENDER%20LAYOUT.docx"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6.jpeg"/><Relationship Id="rId57" Type="http://schemas.openxmlformats.org/officeDocument/2006/relationships/chart" Target="charts/chart11.xm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chart" Target="charts/chart14.xml"/><Relationship Id="rId65" Type="http://schemas.openxmlformats.org/officeDocument/2006/relationships/chart" Target="charts/chart18.xml"/><Relationship Id="rId73" Type="http://schemas.openxmlformats.org/officeDocument/2006/relationships/chart" Target="charts/chart25.xml"/><Relationship Id="rId78" Type="http://schemas.openxmlformats.org/officeDocument/2006/relationships/header" Target="header4.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microsoft.com/office/2007/relationships/hdphoto" Target="media/hdphoto1.wdp"/><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chart" Target="charts/chart9.xml"/><Relationship Id="rId55" Type="http://schemas.openxmlformats.org/officeDocument/2006/relationships/image" Target="media/image30.jpeg"/><Relationship Id="rId76"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chart" Target="charts/chart23.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jpeg"/><Relationship Id="rId40" Type="http://schemas.openxmlformats.org/officeDocument/2006/relationships/chart" Target="charts/chart3.xml"/><Relationship Id="rId45" Type="http://schemas.openxmlformats.org/officeDocument/2006/relationships/image" Target="media/image25.jpeg"/><Relationship Id="rId66" Type="http://schemas.openxmlformats.org/officeDocument/2006/relationships/chart" Target="charts/chart19.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F:\Data%20Terpilah%20Gender\Oret-oreta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UBLIKASI\Gender%202022\Gender.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UBLIKASI\Gender%202022\Gender.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UBLIKASI\Gender%202022\Gender.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UBLIKASI\Gender%202022\Gender.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UBLIKASI\Gender%202022\Gender.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ublikasi%20Gender%20dan%20Anak\Workbook%20Elis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ublikasi%20Gender%20dan%20Anak\Workbook%20Elis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ublikasi%20Gender%20dan%20Anak\Workbook%20Elis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ublikasi%20Gender%20dan%20Anak\Workbook%20Elisa.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ublikasi%20Gender%20dan%20Anak\Workbook%20Elis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ublikasi%20Gender%20dan%20Anak\Workbook%20Elis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Data%20Terpilah%20Gender\Oret-oreta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Data%20Terpilah%20Gender\Oret-oreta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Data%20Terpilah%20Gender\Oret-oreta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Data%20Terpilah%20Gender\Oret-oreta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Data%20Terpilah%20Gender\Oret-oreta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Data%20Terpilah%20Gender\Oret-oret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UBLIKASI\Gender%202022\Gender.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UBLIKASI\Gender%202022\Gender.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Umur%20Harapan%20Hidup%20Menurut%20Kabupaten_Kota%20dan%20Jenis%20Kelami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Umur%20Harapan%20Hidup%20Menurut%20Kabupaten_Kota%20dan%20Jenis%20Kelami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Umur%20Harapan%20Hidup%20Menurut%20Kabupaten_Kota%20dan%20Jenis%20Kelami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ublikasi%20Gender%20dan%20Anak\Workbook%20Eli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lumMod val="40000"/>
                <a:lumOff val="60000"/>
              </a:schemeClr>
            </a:solidFill>
            <a:ln>
              <a:noFill/>
            </a:ln>
            <a:effectLst/>
            <a:sp3d/>
          </c:spPr>
          <c:invertIfNegative val="0"/>
          <c:dLbls>
            <c:spPr>
              <a:solidFill>
                <a:schemeClr val="bg1"/>
              </a:solidFill>
              <a:ln>
                <a:noFill/>
              </a:ln>
              <a:effectLst/>
            </c:spPr>
            <c:txPr>
              <a:bodyPr rot="0" spcFirstLastPara="1" vertOverflow="ellipsis" vert="horz" wrap="squar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Sheet2!$B$1:$C$1</c:f>
              <c:strCache>
                <c:ptCount val="2"/>
                <c:pt idx="0">
                  <c:v>Berlaku</c:v>
                </c:pt>
                <c:pt idx="1">
                  <c:v>Konstan</c:v>
                </c:pt>
              </c:strCache>
            </c:strRef>
          </c:cat>
          <c:val>
            <c:numRef>
              <c:f>Sheet2!$B$2:$C$2</c:f>
              <c:numCache>
                <c:formatCode>General</c:formatCode>
                <c:ptCount val="2"/>
                <c:pt idx="0">
                  <c:v>170</c:v>
                </c:pt>
                <c:pt idx="1">
                  <c:v>102.3</c:v>
                </c:pt>
              </c:numCache>
            </c:numRef>
          </c:val>
          <c:extLst xmlns:c16r2="http://schemas.microsoft.com/office/drawing/2015/06/chart">
            <c:ext xmlns:c16="http://schemas.microsoft.com/office/drawing/2014/chart" uri="{C3380CC4-5D6E-409C-BE32-E72D297353CC}">
              <c16:uniqueId val="{00000000-AEBB-46BC-8C9B-802D59DAD593}"/>
            </c:ext>
          </c:extLst>
        </c:ser>
        <c:dLbls>
          <c:showLegendKey val="0"/>
          <c:showVal val="1"/>
          <c:showCatName val="0"/>
          <c:showSerName val="0"/>
          <c:showPercent val="0"/>
          <c:showBubbleSize val="0"/>
        </c:dLbls>
        <c:gapWidth val="150"/>
        <c:shape val="box"/>
        <c:axId val="234467328"/>
        <c:axId val="234074048"/>
        <c:axId val="0"/>
      </c:bar3DChart>
      <c:catAx>
        <c:axId val="234467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74048"/>
        <c:crosses val="autoZero"/>
        <c:auto val="1"/>
        <c:lblAlgn val="ctr"/>
        <c:lblOffset val="100"/>
        <c:noMultiLvlLbl val="0"/>
      </c:catAx>
      <c:valAx>
        <c:axId val="23407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467328"/>
        <c:crosses val="autoZero"/>
        <c:crossBetween val="between"/>
        <c:majorUnit val="5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745964044535"/>
          <c:y val="6.2434963579604576E-2"/>
          <c:w val="0.84110467303045122"/>
          <c:h val="0.70305210287839925"/>
        </c:manualLayout>
      </c:layout>
      <c:lineChart>
        <c:grouping val="standard"/>
        <c:varyColors val="0"/>
        <c:ser>
          <c:idx val="0"/>
          <c:order val="0"/>
          <c:tx>
            <c:strRef>
              <c:f>EkNaker!$B$65</c:f>
              <c:strCache>
                <c:ptCount val="1"/>
                <c:pt idx="0">
                  <c:v>TPAK Laki-laki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EkNaker!$A$67:$A$76</c:f>
              <c:strCache>
                <c:ptCount val="10"/>
                <c:pt idx="0">
                  <c:v>15-19</c:v>
                </c:pt>
                <c:pt idx="1">
                  <c:v>20-24</c:v>
                </c:pt>
                <c:pt idx="2">
                  <c:v>25-29</c:v>
                </c:pt>
                <c:pt idx="3">
                  <c:v>30-34</c:v>
                </c:pt>
                <c:pt idx="4">
                  <c:v>35-39</c:v>
                </c:pt>
                <c:pt idx="5">
                  <c:v>40-44</c:v>
                </c:pt>
                <c:pt idx="6">
                  <c:v>45-49</c:v>
                </c:pt>
                <c:pt idx="7">
                  <c:v>50-54</c:v>
                </c:pt>
                <c:pt idx="8">
                  <c:v>55-59</c:v>
                </c:pt>
                <c:pt idx="9">
                  <c:v>60 +</c:v>
                </c:pt>
              </c:strCache>
            </c:strRef>
          </c:cat>
          <c:val>
            <c:numRef>
              <c:f>EkNaker!$B$67:$B$76</c:f>
              <c:numCache>
                <c:formatCode>0.00</c:formatCode>
                <c:ptCount val="10"/>
                <c:pt idx="0">
                  <c:v>35.258252843191521</c:v>
                </c:pt>
                <c:pt idx="1">
                  <c:v>80.796358271258413</c:v>
                </c:pt>
                <c:pt idx="2">
                  <c:v>94.489720805510274</c:v>
                </c:pt>
                <c:pt idx="3">
                  <c:v>97.279456419373872</c:v>
                </c:pt>
                <c:pt idx="4">
                  <c:v>98.41137420568711</c:v>
                </c:pt>
                <c:pt idx="5">
                  <c:v>97.602952460993166</c:v>
                </c:pt>
                <c:pt idx="6">
                  <c:v>96.721665961547501</c:v>
                </c:pt>
                <c:pt idx="7">
                  <c:v>95.700502470126253</c:v>
                </c:pt>
                <c:pt idx="8">
                  <c:v>89.597152351805391</c:v>
                </c:pt>
                <c:pt idx="9">
                  <c:v>66.60344799518127</c:v>
                </c:pt>
              </c:numCache>
            </c:numRef>
          </c:val>
          <c:smooth val="0"/>
          <c:extLst xmlns:c16r2="http://schemas.microsoft.com/office/drawing/2015/06/chart">
            <c:ext xmlns:c16="http://schemas.microsoft.com/office/drawing/2014/chart" uri="{C3380CC4-5D6E-409C-BE32-E72D297353CC}">
              <c16:uniqueId val="{00000000-CDB7-41F4-ADF4-3C7A113F16D1}"/>
            </c:ext>
          </c:extLst>
        </c:ser>
        <c:ser>
          <c:idx val="1"/>
          <c:order val="1"/>
          <c:tx>
            <c:strRef>
              <c:f>EkNaker!$C$65</c:f>
              <c:strCache>
                <c:ptCount val="1"/>
                <c:pt idx="0">
                  <c:v>TPAK Perempuan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EkNaker!$A$67:$A$76</c:f>
              <c:strCache>
                <c:ptCount val="10"/>
                <c:pt idx="0">
                  <c:v>15-19</c:v>
                </c:pt>
                <c:pt idx="1">
                  <c:v>20-24</c:v>
                </c:pt>
                <c:pt idx="2">
                  <c:v>25-29</c:v>
                </c:pt>
                <c:pt idx="3">
                  <c:v>30-34</c:v>
                </c:pt>
                <c:pt idx="4">
                  <c:v>35-39</c:v>
                </c:pt>
                <c:pt idx="5">
                  <c:v>40-44</c:v>
                </c:pt>
                <c:pt idx="6">
                  <c:v>45-49</c:v>
                </c:pt>
                <c:pt idx="7">
                  <c:v>50-54</c:v>
                </c:pt>
                <c:pt idx="8">
                  <c:v>55-59</c:v>
                </c:pt>
                <c:pt idx="9">
                  <c:v>60 +</c:v>
                </c:pt>
              </c:strCache>
            </c:strRef>
          </c:cat>
          <c:val>
            <c:numRef>
              <c:f>EkNaker!$C$67:$C$76</c:f>
              <c:numCache>
                <c:formatCode>0.00</c:formatCode>
                <c:ptCount val="10"/>
                <c:pt idx="0">
                  <c:v>20.736711078327417</c:v>
                </c:pt>
                <c:pt idx="1">
                  <c:v>46.287362159024958</c:v>
                </c:pt>
                <c:pt idx="2">
                  <c:v>55.684730625941292</c:v>
                </c:pt>
                <c:pt idx="3">
                  <c:v>53.185935539415475</c:v>
                </c:pt>
                <c:pt idx="4">
                  <c:v>54.973059288242268</c:v>
                </c:pt>
                <c:pt idx="5">
                  <c:v>65.247725361266149</c:v>
                </c:pt>
                <c:pt idx="6">
                  <c:v>65.874898456539398</c:v>
                </c:pt>
                <c:pt idx="7">
                  <c:v>63.592194555200557</c:v>
                </c:pt>
                <c:pt idx="8">
                  <c:v>58.898433732788021</c:v>
                </c:pt>
                <c:pt idx="9">
                  <c:v>36.147499806785689</c:v>
                </c:pt>
              </c:numCache>
            </c:numRef>
          </c:val>
          <c:smooth val="0"/>
          <c:extLst xmlns:c16r2="http://schemas.microsoft.com/office/drawing/2015/06/chart">
            <c:ext xmlns:c16="http://schemas.microsoft.com/office/drawing/2014/chart" uri="{C3380CC4-5D6E-409C-BE32-E72D297353CC}">
              <c16:uniqueId val="{00000001-CDB7-41F4-ADF4-3C7A113F16D1}"/>
            </c:ext>
          </c:extLst>
        </c:ser>
        <c:dLbls>
          <c:showLegendKey val="0"/>
          <c:showVal val="0"/>
          <c:showCatName val="0"/>
          <c:showSerName val="0"/>
          <c:showPercent val="0"/>
          <c:showBubbleSize val="0"/>
        </c:dLbls>
        <c:marker val="1"/>
        <c:smooth val="0"/>
        <c:axId val="265010688"/>
        <c:axId val="347663168"/>
      </c:lineChart>
      <c:catAx>
        <c:axId val="2650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63168"/>
        <c:crosses val="autoZero"/>
        <c:auto val="1"/>
        <c:lblAlgn val="ctr"/>
        <c:lblOffset val="100"/>
        <c:noMultiLvlLbl val="0"/>
      </c:catAx>
      <c:valAx>
        <c:axId val="3476631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01068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EkNaker!$B$131</c:f>
              <c:strCache>
                <c:ptCount val="1"/>
                <c:pt idx="0">
                  <c:v>Laki-laki</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EkNaker!$A$132:$A$133</c:f>
              <c:numCache>
                <c:formatCode>General</c:formatCode>
                <c:ptCount val="2"/>
                <c:pt idx="0">
                  <c:v>2020</c:v>
                </c:pt>
                <c:pt idx="1">
                  <c:v>2021</c:v>
                </c:pt>
              </c:numCache>
            </c:numRef>
          </c:cat>
          <c:val>
            <c:numRef>
              <c:f>EkNaker!$D$132:$D$133</c:f>
              <c:numCache>
                <c:formatCode>0.00</c:formatCode>
                <c:ptCount val="2"/>
                <c:pt idx="0">
                  <c:v>60.293603777663876</c:v>
                </c:pt>
                <c:pt idx="1">
                  <c:v>60.244918824303994</c:v>
                </c:pt>
              </c:numCache>
            </c:numRef>
          </c:val>
          <c:extLst xmlns:c16r2="http://schemas.microsoft.com/office/drawing/2015/06/chart">
            <c:ext xmlns:c16="http://schemas.microsoft.com/office/drawing/2014/chart" uri="{C3380CC4-5D6E-409C-BE32-E72D297353CC}">
              <c16:uniqueId val="{00000000-A8F1-4C3D-91B4-62161B70069A}"/>
            </c:ext>
          </c:extLst>
        </c:ser>
        <c:ser>
          <c:idx val="1"/>
          <c:order val="1"/>
          <c:tx>
            <c:strRef>
              <c:f>EkNaker!$C$131</c:f>
              <c:strCache>
                <c:ptCount val="1"/>
                <c:pt idx="0">
                  <c:v>Perempuan</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EkNaker!$A$132:$A$133</c:f>
              <c:numCache>
                <c:formatCode>General</c:formatCode>
                <c:ptCount val="2"/>
                <c:pt idx="0">
                  <c:v>2020</c:v>
                </c:pt>
                <c:pt idx="1">
                  <c:v>2021</c:v>
                </c:pt>
              </c:numCache>
            </c:numRef>
          </c:cat>
          <c:val>
            <c:numRef>
              <c:f>EkNaker!$E$132:$E$133</c:f>
              <c:numCache>
                <c:formatCode>0.00</c:formatCode>
                <c:ptCount val="2"/>
                <c:pt idx="0">
                  <c:v>39.706396222336132</c:v>
                </c:pt>
                <c:pt idx="1">
                  <c:v>39.755081175695999</c:v>
                </c:pt>
              </c:numCache>
            </c:numRef>
          </c:val>
          <c:extLst xmlns:c16r2="http://schemas.microsoft.com/office/drawing/2015/06/chart">
            <c:ext xmlns:c16="http://schemas.microsoft.com/office/drawing/2014/chart" uri="{C3380CC4-5D6E-409C-BE32-E72D297353CC}">
              <c16:uniqueId val="{00000001-A8F1-4C3D-91B4-62161B70069A}"/>
            </c:ext>
          </c:extLst>
        </c:ser>
        <c:dLbls>
          <c:showLegendKey val="0"/>
          <c:showVal val="0"/>
          <c:showCatName val="0"/>
          <c:showSerName val="0"/>
          <c:showPercent val="0"/>
          <c:showBubbleSize val="0"/>
        </c:dLbls>
        <c:gapWidth val="150"/>
        <c:overlap val="100"/>
        <c:axId val="265007616"/>
        <c:axId val="347664896"/>
      </c:barChart>
      <c:catAx>
        <c:axId val="26500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47664896"/>
        <c:crosses val="autoZero"/>
        <c:auto val="1"/>
        <c:lblAlgn val="ctr"/>
        <c:lblOffset val="100"/>
        <c:noMultiLvlLbl val="0"/>
      </c:catAx>
      <c:valAx>
        <c:axId val="347664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00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118936399568812E-2"/>
          <c:y val="7.9455164585698068E-2"/>
          <c:w val="0.92094861660079053"/>
          <c:h val="0.67608748111934358"/>
        </c:manualLayout>
      </c:layout>
      <c:barChart>
        <c:barDir val="col"/>
        <c:grouping val="clustered"/>
        <c:varyColors val="0"/>
        <c:ser>
          <c:idx val="0"/>
          <c:order val="0"/>
          <c:tx>
            <c:strRef>
              <c:f>'7.5'!$B$21</c:f>
              <c:strCache>
                <c:ptCount val="1"/>
                <c:pt idx="0">
                  <c:v>Laki-laki</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'7.5'!$A$22:$A$23</c:f>
              <c:numCache>
                <c:formatCode>General</c:formatCode>
                <c:ptCount val="2"/>
                <c:pt idx="0">
                  <c:v>2020</c:v>
                </c:pt>
                <c:pt idx="1">
                  <c:v>2021</c:v>
                </c:pt>
              </c:numCache>
            </c:numRef>
          </c:cat>
          <c:val>
            <c:numRef>
              <c:f>'7.5'!$B$22:$B$23</c:f>
              <c:numCache>
                <c:formatCode>0.00</c:formatCode>
                <c:ptCount val="2"/>
                <c:pt idx="0">
                  <c:v>29.618119406644599</c:v>
                </c:pt>
                <c:pt idx="1">
                  <c:v>29.179752609878058</c:v>
                </c:pt>
              </c:numCache>
            </c:numRef>
          </c:val>
          <c:extLst xmlns:c16r2="http://schemas.microsoft.com/office/drawing/2015/06/chart">
            <c:ext xmlns:c16="http://schemas.microsoft.com/office/drawing/2014/chart" uri="{C3380CC4-5D6E-409C-BE32-E72D297353CC}">
              <c16:uniqueId val="{00000000-EF81-49E2-BED2-7A0745453197}"/>
            </c:ext>
          </c:extLst>
        </c:ser>
        <c:ser>
          <c:idx val="1"/>
          <c:order val="1"/>
          <c:tx>
            <c:strRef>
              <c:f>'7.5'!$C$21</c:f>
              <c:strCache>
                <c:ptCount val="1"/>
                <c:pt idx="0">
                  <c:v>Perempuan</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'7.5'!$A$22:$A$23</c:f>
              <c:numCache>
                <c:formatCode>General</c:formatCode>
                <c:ptCount val="2"/>
                <c:pt idx="0">
                  <c:v>2020</c:v>
                </c:pt>
                <c:pt idx="1">
                  <c:v>2021</c:v>
                </c:pt>
              </c:numCache>
            </c:numRef>
          </c:cat>
          <c:val>
            <c:numRef>
              <c:f>'7.5'!$C$22:$C$23</c:f>
              <c:numCache>
                <c:formatCode>0.00</c:formatCode>
                <c:ptCount val="2"/>
                <c:pt idx="0">
                  <c:v>70.38188059335539</c:v>
                </c:pt>
                <c:pt idx="1">
                  <c:v>70.820247390121935</c:v>
                </c:pt>
              </c:numCache>
            </c:numRef>
          </c:val>
          <c:extLst xmlns:c16r2="http://schemas.microsoft.com/office/drawing/2015/06/chart">
            <c:ext xmlns:c16="http://schemas.microsoft.com/office/drawing/2014/chart" uri="{C3380CC4-5D6E-409C-BE32-E72D297353CC}">
              <c16:uniqueId val="{00000001-EF81-49E2-BED2-7A0745453197}"/>
            </c:ext>
          </c:extLst>
        </c:ser>
        <c:dLbls>
          <c:showLegendKey val="0"/>
          <c:showVal val="0"/>
          <c:showCatName val="0"/>
          <c:showSerName val="0"/>
          <c:showPercent val="0"/>
          <c:showBubbleSize val="0"/>
        </c:dLbls>
        <c:gapWidth val="89"/>
        <c:axId val="265008128"/>
        <c:axId val="347666624"/>
      </c:barChart>
      <c:catAx>
        <c:axId val="26500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66624"/>
        <c:crosses val="autoZero"/>
        <c:auto val="1"/>
        <c:lblAlgn val="ctr"/>
        <c:lblOffset val="100"/>
        <c:noMultiLvlLbl val="0"/>
      </c:catAx>
      <c:valAx>
        <c:axId val="347666624"/>
        <c:scaling>
          <c:orientation val="minMax"/>
        </c:scaling>
        <c:delete val="1"/>
        <c:axPos val="l"/>
        <c:numFmt formatCode="0.00" sourceLinked="1"/>
        <c:majorTickMark val="none"/>
        <c:minorTickMark val="none"/>
        <c:tickLblPos val="nextTo"/>
        <c:crossAx val="26500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'7.7'!$A$3:$A$5</c:f>
              <c:numCache>
                <c:formatCode>General</c:formatCode>
                <c:ptCount val="3"/>
                <c:pt idx="0">
                  <c:v>2019</c:v>
                </c:pt>
                <c:pt idx="1">
                  <c:v>2020</c:v>
                </c:pt>
                <c:pt idx="2">
                  <c:v>2021</c:v>
                </c:pt>
              </c:numCache>
            </c:numRef>
          </c:cat>
          <c:val>
            <c:numRef>
              <c:f>'7.7'!$B$3:$B$5</c:f>
              <c:numCache>
                <c:formatCode>General</c:formatCode>
                <c:ptCount val="3"/>
                <c:pt idx="0">
                  <c:v>4.04</c:v>
                </c:pt>
                <c:pt idx="1">
                  <c:v>4.58</c:v>
                </c:pt>
                <c:pt idx="2">
                  <c:v>4.53</c:v>
                </c:pt>
              </c:numCache>
            </c:numRef>
          </c:val>
          <c:smooth val="0"/>
          <c:extLst xmlns:c16r2="http://schemas.microsoft.com/office/drawing/2015/06/chart">
            <c:ext xmlns:c16="http://schemas.microsoft.com/office/drawing/2014/chart" uri="{C3380CC4-5D6E-409C-BE32-E72D297353CC}">
              <c16:uniqueId val="{00000000-02B8-4391-8F65-035DBD5FF2C8}"/>
            </c:ext>
          </c:extLst>
        </c:ser>
        <c:dLbls>
          <c:showLegendKey val="0"/>
          <c:showVal val="0"/>
          <c:showCatName val="0"/>
          <c:showSerName val="0"/>
          <c:showPercent val="0"/>
          <c:showBubbleSize val="0"/>
        </c:dLbls>
        <c:marker val="1"/>
        <c:smooth val="0"/>
        <c:axId val="265109504"/>
        <c:axId val="50593792"/>
      </c:lineChart>
      <c:catAx>
        <c:axId val="26510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93792"/>
        <c:crosses val="autoZero"/>
        <c:auto val="1"/>
        <c:lblAlgn val="ctr"/>
        <c:lblOffset val="100"/>
        <c:noMultiLvlLbl val="0"/>
      </c:catAx>
      <c:valAx>
        <c:axId val="50593792"/>
        <c:scaling>
          <c:orientation val="minMax"/>
          <c:max val="5"/>
          <c:min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109504"/>
        <c:crosses val="autoZero"/>
        <c:crossBetween val="between"/>
        <c:majorUnit val="0.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spPr>
            <a:solidFill>
              <a:schemeClr val="accent1"/>
            </a:solidFill>
            <a:ln>
              <a:noFill/>
            </a:ln>
            <a:effectLst/>
          </c:spPr>
          <c:invertIfNegative val="0"/>
          <c:cat>
            <c:strRef>
              <c:f>'7.8'!$A$3:$A$11</c:f>
              <c:strCache>
                <c:ptCount val="9"/>
                <c:pt idx="0">
                  <c:v>Konstruksi</c:v>
                </c:pt>
                <c:pt idx="1">
                  <c:v>Pertambangan dan Penggalian</c:v>
                </c:pt>
                <c:pt idx="2">
                  <c:v>Angkutan, Pergudangan, dan Komunikasi</c:v>
                </c:pt>
                <c:pt idx="3">
                  <c:v>Listrik, Gas, dan Air</c:v>
                </c:pt>
                <c:pt idx="4">
                  <c:v> Perkebunan, Kehutanan, Perburuan, dan Perikanan</c:v>
                </c:pt>
                <c:pt idx="5">
                  <c:v>Lembaga Keuangan, Real Estate, Usaha Persewaan, dan Jasa Perusahaan</c:v>
                </c:pt>
                <c:pt idx="6">
                  <c:v>Industri Pengolahan</c:v>
                </c:pt>
                <c:pt idx="7">
                  <c:v>Jasa Kemasyarakatan, Sosial dan Perorangan</c:v>
                </c:pt>
                <c:pt idx="8">
                  <c:v>Perdagangan, Rumah Makan, dan Jasa Akomodasi</c:v>
                </c:pt>
              </c:strCache>
            </c:strRef>
          </c:cat>
          <c:val>
            <c:numRef>
              <c:f>'7.8'!$B$3:$B$11</c:f>
            </c:numRef>
          </c:val>
          <c:extLst xmlns:c16r2="http://schemas.microsoft.com/office/drawing/2015/06/chart">
            <c:ext xmlns:c16="http://schemas.microsoft.com/office/drawing/2014/chart" uri="{C3380CC4-5D6E-409C-BE32-E72D297353CC}">
              <c16:uniqueId val="{00000000-5C4E-40F8-B375-466B45302313}"/>
            </c:ext>
          </c:extLst>
        </c:ser>
        <c:ser>
          <c:idx val="1"/>
          <c:order val="1"/>
          <c:spPr>
            <a:solidFill>
              <a:schemeClr val="accent2"/>
            </a:solidFill>
            <a:ln>
              <a:noFill/>
            </a:ln>
            <a:effectLst/>
          </c:spPr>
          <c:invertIfNegative val="0"/>
          <c:cat>
            <c:strRef>
              <c:f>'7.8'!$A$3:$A$11</c:f>
              <c:strCache>
                <c:ptCount val="9"/>
                <c:pt idx="0">
                  <c:v>Konstruksi</c:v>
                </c:pt>
                <c:pt idx="1">
                  <c:v>Pertambangan dan Penggalian</c:v>
                </c:pt>
                <c:pt idx="2">
                  <c:v>Angkutan, Pergudangan, dan Komunikasi</c:v>
                </c:pt>
                <c:pt idx="3">
                  <c:v>Listrik, Gas, dan Air</c:v>
                </c:pt>
                <c:pt idx="4">
                  <c:v> Perkebunan, Kehutanan, Perburuan, dan Perikanan</c:v>
                </c:pt>
                <c:pt idx="5">
                  <c:v>Lembaga Keuangan, Real Estate, Usaha Persewaan, dan Jasa Perusahaan</c:v>
                </c:pt>
                <c:pt idx="6">
                  <c:v>Industri Pengolahan</c:v>
                </c:pt>
                <c:pt idx="7">
                  <c:v>Jasa Kemasyarakatan, Sosial dan Perorangan</c:v>
                </c:pt>
                <c:pt idx="8">
                  <c:v>Perdagangan, Rumah Makan, dan Jasa Akomodasi</c:v>
                </c:pt>
              </c:strCache>
            </c:strRef>
          </c:cat>
          <c:val>
            <c:numRef>
              <c:f>'7.8'!$C$3:$C$11</c:f>
            </c:numRef>
          </c:val>
          <c:extLst xmlns:c16r2="http://schemas.microsoft.com/office/drawing/2015/06/chart">
            <c:ext xmlns:c16="http://schemas.microsoft.com/office/drawing/2014/chart" uri="{C3380CC4-5D6E-409C-BE32-E72D297353CC}">
              <c16:uniqueId val="{00000001-5C4E-40F8-B375-466B45302313}"/>
            </c:ext>
          </c:extLst>
        </c:ser>
        <c:ser>
          <c:idx val="2"/>
          <c:order val="2"/>
          <c:tx>
            <c:v>Laki-laki</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'7.8'!$A$3:$A$11</c:f>
              <c:strCache>
                <c:ptCount val="9"/>
                <c:pt idx="0">
                  <c:v>Konstruksi</c:v>
                </c:pt>
                <c:pt idx="1">
                  <c:v>Pertambangan dan Penggalian</c:v>
                </c:pt>
                <c:pt idx="2">
                  <c:v>Angkutan, Pergudangan, dan Komunikasi</c:v>
                </c:pt>
                <c:pt idx="3">
                  <c:v>Listrik, Gas, dan Air</c:v>
                </c:pt>
                <c:pt idx="4">
                  <c:v> Perkebunan, Kehutanan, Perburuan, dan Perikanan</c:v>
                </c:pt>
                <c:pt idx="5">
                  <c:v>Lembaga Keuangan, Real Estate, Usaha Persewaan, dan Jasa Perusahaan</c:v>
                </c:pt>
                <c:pt idx="6">
                  <c:v>Industri Pengolahan</c:v>
                </c:pt>
                <c:pt idx="7">
                  <c:v>Jasa Kemasyarakatan, Sosial dan Perorangan</c:v>
                </c:pt>
                <c:pt idx="8">
                  <c:v>Perdagangan, Rumah Makan, dan Jasa Akomodasi</c:v>
                </c:pt>
              </c:strCache>
            </c:strRef>
          </c:cat>
          <c:val>
            <c:numRef>
              <c:f>'7.8'!$D$3:$D$11</c:f>
              <c:numCache>
                <c:formatCode>#,##0.00</c:formatCode>
                <c:ptCount val="9"/>
                <c:pt idx="0">
                  <c:v>98.88074761712565</c:v>
                </c:pt>
                <c:pt idx="1">
                  <c:v>93.957817474354442</c:v>
                </c:pt>
                <c:pt idx="2">
                  <c:v>92.005529316898972</c:v>
                </c:pt>
                <c:pt idx="3">
                  <c:v>88.882167916767486</c:v>
                </c:pt>
                <c:pt idx="4">
                  <c:v>69.753381852701523</c:v>
                </c:pt>
                <c:pt idx="5">
                  <c:v>69.708929452392695</c:v>
                </c:pt>
                <c:pt idx="6">
                  <c:v>61.346816342035297</c:v>
                </c:pt>
                <c:pt idx="7">
                  <c:v>54.03964189692131</c:v>
                </c:pt>
                <c:pt idx="8">
                  <c:v>43.147784492308965</c:v>
                </c:pt>
              </c:numCache>
            </c:numRef>
          </c:val>
          <c:extLst xmlns:c16r2="http://schemas.microsoft.com/office/drawing/2015/06/chart">
            <c:ext xmlns:c16="http://schemas.microsoft.com/office/drawing/2014/chart" uri="{C3380CC4-5D6E-409C-BE32-E72D297353CC}">
              <c16:uniqueId val="{00000002-5C4E-40F8-B375-466B45302313}"/>
            </c:ext>
          </c:extLst>
        </c:ser>
        <c:ser>
          <c:idx val="3"/>
          <c:order val="3"/>
          <c:tx>
            <c:v>Perempuan</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'7.8'!$A$3:$A$11</c:f>
              <c:strCache>
                <c:ptCount val="9"/>
                <c:pt idx="0">
                  <c:v>Konstruksi</c:v>
                </c:pt>
                <c:pt idx="1">
                  <c:v>Pertambangan dan Penggalian</c:v>
                </c:pt>
                <c:pt idx="2">
                  <c:v>Angkutan, Pergudangan, dan Komunikasi</c:v>
                </c:pt>
                <c:pt idx="3">
                  <c:v>Listrik, Gas, dan Air</c:v>
                </c:pt>
                <c:pt idx="4">
                  <c:v> Perkebunan, Kehutanan, Perburuan, dan Perikanan</c:v>
                </c:pt>
                <c:pt idx="5">
                  <c:v>Lembaga Keuangan, Real Estate, Usaha Persewaan, dan Jasa Perusahaan</c:v>
                </c:pt>
                <c:pt idx="6">
                  <c:v>Industri Pengolahan</c:v>
                </c:pt>
                <c:pt idx="7">
                  <c:v>Jasa Kemasyarakatan, Sosial dan Perorangan</c:v>
                </c:pt>
                <c:pt idx="8">
                  <c:v>Perdagangan, Rumah Makan, dan Jasa Akomodasi</c:v>
                </c:pt>
              </c:strCache>
            </c:strRef>
          </c:cat>
          <c:val>
            <c:numRef>
              <c:f>'7.8'!$E$3:$E$11</c:f>
              <c:numCache>
                <c:formatCode>#,##0.00</c:formatCode>
                <c:ptCount val="9"/>
                <c:pt idx="0">
                  <c:v>1.1192523828743504</c:v>
                </c:pt>
                <c:pt idx="1">
                  <c:v>6.0421825256455577</c:v>
                </c:pt>
                <c:pt idx="2">
                  <c:v>7.9944706831010279</c:v>
                </c:pt>
                <c:pt idx="3">
                  <c:v>11.117832083232514</c:v>
                </c:pt>
                <c:pt idx="4">
                  <c:v>30.246618147298477</c:v>
                </c:pt>
                <c:pt idx="5">
                  <c:v>30.291070547607305</c:v>
                </c:pt>
                <c:pt idx="6">
                  <c:v>38.653183657964703</c:v>
                </c:pt>
                <c:pt idx="7">
                  <c:v>45.96035810307869</c:v>
                </c:pt>
                <c:pt idx="8">
                  <c:v>56.852215507691035</c:v>
                </c:pt>
              </c:numCache>
            </c:numRef>
          </c:val>
          <c:extLst xmlns:c16r2="http://schemas.microsoft.com/office/drawing/2015/06/chart">
            <c:ext xmlns:c16="http://schemas.microsoft.com/office/drawing/2014/chart" uri="{C3380CC4-5D6E-409C-BE32-E72D297353CC}">
              <c16:uniqueId val="{00000003-5C4E-40F8-B375-466B45302313}"/>
            </c:ext>
          </c:extLst>
        </c:ser>
        <c:dLbls>
          <c:showLegendKey val="0"/>
          <c:showVal val="0"/>
          <c:showCatName val="0"/>
          <c:showSerName val="0"/>
          <c:showPercent val="0"/>
          <c:showBubbleSize val="0"/>
        </c:dLbls>
        <c:gapWidth val="150"/>
        <c:overlap val="100"/>
        <c:axId val="265111040"/>
        <c:axId val="50595520"/>
      </c:barChart>
      <c:catAx>
        <c:axId val="2651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95520"/>
        <c:crosses val="autoZero"/>
        <c:auto val="1"/>
        <c:lblAlgn val="ctr"/>
        <c:lblOffset val="100"/>
        <c:noMultiLvlLbl val="0"/>
      </c:catAx>
      <c:valAx>
        <c:axId val="50595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11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'G 10.1'!$C$1</c:f>
              <c:strCache>
                <c:ptCount val="1"/>
                <c:pt idx="0">
                  <c:v>IDG 2021</c:v>
                </c:pt>
              </c:strCache>
            </c:strRef>
          </c:tx>
          <c:spPr>
            <a:solidFill>
              <a:schemeClr val="accent4">
                <a:lumMod val="20000"/>
                <a:lumOff val="80000"/>
              </a:schemeClr>
            </a:solidFill>
            <a:ln w="9525" cap="flat" cmpd="sng" algn="ctr">
              <a:solidFill>
                <a:schemeClr val="lt1">
                  <a:alpha val="50000"/>
                </a:schemeClr>
              </a:solidFill>
              <a:round/>
            </a:ln>
            <a:effectLst/>
          </c:spPr>
          <c:invertIfNegative val="0"/>
          <c:dLbls>
            <c:dLbl>
              <c:idx val="0"/>
              <c:layout>
                <c:manualLayout>
                  <c:x val="-1.157642210611533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F5-4306-97B0-F82C987CEF16}"/>
                </c:ext>
              </c:extLst>
            </c:dLbl>
            <c:dLbl>
              <c:idx val="1"/>
              <c:layout>
                <c:manualLayout>
                  <c:x val="-1.157642210611524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F5-4306-97B0-F82C987CEF16}"/>
                </c:ext>
              </c:extLst>
            </c:dLbl>
            <c:dLbl>
              <c:idx val="2"/>
              <c:layout>
                <c:manualLayout>
                  <c:x val="-1.018078347683175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9F5-4306-97B0-F82C987CEF16}"/>
                </c:ext>
              </c:extLst>
            </c:dLbl>
            <c:dLbl>
              <c:idx val="3"/>
              <c:layout>
                <c:manualLayout>
                  <c:x val="-9.0842102681090095E-3"/>
                  <c:y val="-1.4659165346835637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F5-4306-97B0-F82C987CEF16}"/>
                </c:ext>
              </c:extLst>
            </c:dLbl>
            <c:dLbl>
              <c:idx val="4"/>
              <c:layout>
                <c:manualLayout>
                  <c:x val="-1.1576422106115331E-2"/>
                  <c:y val="-7.329582673417818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9F5-4306-97B0-F82C987CEF16}"/>
                </c:ext>
              </c:extLst>
            </c:dLbl>
            <c:dLbl>
              <c:idx val="5"/>
              <c:layout>
                <c:manualLayout>
                  <c:x val="-9.084210268109009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F5-4306-97B0-F82C987CEF16}"/>
                </c:ext>
              </c:extLst>
            </c:dLbl>
            <c:dLbl>
              <c:idx val="6"/>
              <c:layout>
                <c:manualLayout>
                  <c:x val="-1.406863394412156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9F5-4306-97B0-F82C987CEF16}"/>
                </c:ext>
              </c:extLst>
            </c:dLbl>
            <c:dLbl>
              <c:idx val="7"/>
              <c:layout>
                <c:manualLayout>
                  <c:x val="-9.0842102681091014E-3"/>
                  <c:y val="-7.329582673417818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9F5-4306-97B0-F82C987CEF16}"/>
                </c:ext>
              </c:extLst>
            </c:dLbl>
            <c:dLbl>
              <c:idx val="8"/>
              <c:layout>
                <c:manualLayout>
                  <c:x val="-6.591998430102961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9F5-4306-97B0-F82C987CEF16}"/>
                </c:ext>
              </c:extLst>
            </c:dLbl>
            <c:dLbl>
              <c:idx val="9"/>
              <c:layout>
                <c:manualLayout>
                  <c:x val="-9.0842102681091916E-3"/>
                  <c:y val="-7.329582673417818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9F5-4306-97B0-F82C987CEF16}"/>
                </c:ext>
              </c:extLst>
            </c:dLbl>
            <c:dLbl>
              <c:idx val="10"/>
              <c:layout>
                <c:manualLayout>
                  <c:x val="-9.0842102681090095E-3"/>
                  <c:y val="3.998000370208538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highlight>
                        <a:srgbClr val="FFFF00"/>
                      </a:highlight>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9F5-4306-97B0-F82C987CEF16}"/>
                </c:ext>
              </c:extLst>
            </c:dLbl>
            <c:dLbl>
              <c:idx val="11"/>
              <c:layout>
                <c:manualLayout>
                  <c:x val="-1.157642210611524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9F5-4306-97B0-F82C987CEF16}"/>
                </c:ext>
              </c:extLst>
            </c:dLbl>
            <c:dLbl>
              <c:idx val="12"/>
              <c:layout>
                <c:manualLayout>
                  <c:x val="-6.591998430102778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9F5-4306-97B0-F82C987CEF16}"/>
                </c:ext>
              </c:extLst>
            </c:dLbl>
            <c:dLbl>
              <c:idx val="13"/>
              <c:layout>
                <c:manualLayout>
                  <c:x val="-4.0997865920965491E-3"/>
                  <c:y val="-1.832395668354454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9F5-4306-97B0-F82C987CEF16}"/>
                </c:ext>
              </c:extLst>
            </c:dLbl>
            <c:dLbl>
              <c:idx val="14"/>
              <c:layout>
                <c:manualLayout>
                  <c:x val="-1.157642210611524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9F5-4306-97B0-F82C987CEF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 10.1'!$B$2:$B$16</c:f>
              <c:strCache>
                <c:ptCount val="15"/>
                <c:pt idx="0">
                  <c:v>Seruyan</c:v>
                </c:pt>
                <c:pt idx="1">
                  <c:v>Kotawaringin Barat</c:v>
                </c:pt>
                <c:pt idx="2">
                  <c:v>Sukamara</c:v>
                </c:pt>
                <c:pt idx="3">
                  <c:v>Katingan</c:v>
                </c:pt>
                <c:pt idx="4">
                  <c:v>Murung Raya</c:v>
                </c:pt>
                <c:pt idx="5">
                  <c:v>Kotawaringin Timur</c:v>
                </c:pt>
                <c:pt idx="6">
                  <c:v>Lamandau</c:v>
                </c:pt>
                <c:pt idx="7">
                  <c:v>Pulang Pisau</c:v>
                </c:pt>
                <c:pt idx="8">
                  <c:v>Kapuas</c:v>
                </c:pt>
                <c:pt idx="9">
                  <c:v>Kota Palangka Raya</c:v>
                </c:pt>
                <c:pt idx="10">
                  <c:v>KALIMANTAN TENGAH</c:v>
                </c:pt>
                <c:pt idx="11">
                  <c:v>Barito Timur</c:v>
                </c:pt>
                <c:pt idx="12">
                  <c:v>Barito Utara</c:v>
                </c:pt>
                <c:pt idx="13">
                  <c:v>Barito Selatan</c:v>
                </c:pt>
                <c:pt idx="14">
                  <c:v>Gunung Mas</c:v>
                </c:pt>
              </c:strCache>
            </c:strRef>
          </c:cat>
          <c:val>
            <c:numRef>
              <c:f>'G 10.1'!$C$2:$C$16</c:f>
              <c:numCache>
                <c:formatCode>General</c:formatCode>
                <c:ptCount val="15"/>
                <c:pt idx="0">
                  <c:v>63.19</c:v>
                </c:pt>
                <c:pt idx="1">
                  <c:v>63.44</c:v>
                </c:pt>
                <c:pt idx="2">
                  <c:v>66.400000000000006</c:v>
                </c:pt>
                <c:pt idx="3">
                  <c:v>67.66</c:v>
                </c:pt>
                <c:pt idx="4">
                  <c:v>67.72</c:v>
                </c:pt>
                <c:pt idx="5">
                  <c:v>69.510000000000005</c:v>
                </c:pt>
                <c:pt idx="6">
                  <c:v>70.260000000000005</c:v>
                </c:pt>
                <c:pt idx="7">
                  <c:v>70.349999999999994</c:v>
                </c:pt>
                <c:pt idx="8">
                  <c:v>73.02</c:v>
                </c:pt>
                <c:pt idx="9">
                  <c:v>78.72</c:v>
                </c:pt>
                <c:pt idx="10">
                  <c:v>82.08</c:v>
                </c:pt>
                <c:pt idx="11">
                  <c:v>82.44</c:v>
                </c:pt>
                <c:pt idx="12">
                  <c:v>85.62</c:v>
                </c:pt>
                <c:pt idx="13">
                  <c:v>86.17</c:v>
                </c:pt>
                <c:pt idx="14">
                  <c:v>88.71</c:v>
                </c:pt>
              </c:numCache>
            </c:numRef>
          </c:val>
          <c:extLst xmlns:c16r2="http://schemas.microsoft.com/office/drawing/2015/06/chart">
            <c:ext xmlns:c16="http://schemas.microsoft.com/office/drawing/2014/chart" uri="{C3380CC4-5D6E-409C-BE32-E72D297353CC}">
              <c16:uniqueId val="{0000000F-09F5-4306-97B0-F82C987CEF16}"/>
            </c:ext>
          </c:extLst>
        </c:ser>
        <c:dLbls>
          <c:dLblPos val="inEnd"/>
          <c:showLegendKey val="0"/>
          <c:showVal val="1"/>
          <c:showCatName val="0"/>
          <c:showSerName val="0"/>
          <c:showPercent val="0"/>
          <c:showBubbleSize val="0"/>
        </c:dLbls>
        <c:gapWidth val="65"/>
        <c:axId val="265009664"/>
        <c:axId val="50597248"/>
      </c:barChart>
      <c:catAx>
        <c:axId val="2650096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crossAx val="50597248"/>
        <c:crosses val="autoZero"/>
        <c:auto val="1"/>
        <c:lblAlgn val="ctr"/>
        <c:lblOffset val="100"/>
        <c:noMultiLvlLbl val="0"/>
      </c:catAx>
      <c:valAx>
        <c:axId val="50597248"/>
        <c:scaling>
          <c:orientation val="minMax"/>
        </c:scaling>
        <c:delete val="0"/>
        <c:axPos val="b"/>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5009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722222222222224E-2"/>
          <c:y val="6.1576354679802957E-2"/>
          <c:w val="0.92361111111111116"/>
          <c:h val="0.41603021605057988"/>
        </c:manualLayout>
      </c:layout>
      <c:bar3DChart>
        <c:barDir val="col"/>
        <c:grouping val="clustered"/>
        <c:varyColors val="0"/>
        <c:ser>
          <c:idx val="0"/>
          <c:order val="0"/>
          <c:spPr>
            <a:solidFill>
              <a:schemeClr val="accent4">
                <a:lumMod val="20000"/>
                <a:lumOff val="80000"/>
              </a:schemeClr>
            </a:solidFill>
            <a:ln>
              <a:solidFill>
                <a:schemeClr val="accent4">
                  <a:lumMod val="20000"/>
                  <a:lumOff val="80000"/>
                </a:schemeClr>
              </a:solidFill>
            </a:ln>
            <a:effectLst/>
            <a:scene3d>
              <a:camera prst="orthographicFront"/>
              <a:lightRig rig="threePt" dir="t"/>
            </a:scene3d>
            <a:sp3d prstMaterial="flat">
              <a:contourClr>
                <a:schemeClr val="accent4">
                  <a:lumMod val="20000"/>
                  <a:lumOff val="80000"/>
                </a:schemeClr>
              </a:contourClr>
            </a:sp3d>
          </c:spPr>
          <c:invertIfNegative val="0"/>
          <c:dLbls>
            <c:spPr>
              <a:solidFill>
                <a:schemeClr val="accent6">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multiLvlStrRef>
              <c:f>'G 10.2'!$C$1:$H$2</c:f>
              <c:multiLvlStrCache>
                <c:ptCount val="6"/>
                <c:lvl>
                  <c:pt idx="0">
                    <c:v>L</c:v>
                  </c:pt>
                  <c:pt idx="1">
                    <c:v>P</c:v>
                  </c:pt>
                  <c:pt idx="2">
                    <c:v>L</c:v>
                  </c:pt>
                  <c:pt idx="3">
                    <c:v>P</c:v>
                  </c:pt>
                  <c:pt idx="4">
                    <c:v>L</c:v>
                  </c:pt>
                  <c:pt idx="5">
                    <c:v>P</c:v>
                  </c:pt>
                </c:lvl>
                <c:lvl>
                  <c:pt idx="0">
                    <c:v>Persentase Keterlibatan di Parlemen</c:v>
                  </c:pt>
                  <c:pt idx="2">
                    <c:v>Persentase Tenaga Manager, Profesional, Administrasi, Teknisi</c:v>
                  </c:pt>
                  <c:pt idx="4">
                    <c:v>Sumbangan dalam Pendapatan Kerja</c:v>
                  </c:pt>
                </c:lvl>
              </c:multiLvlStrCache>
            </c:multiLvlStrRef>
          </c:cat>
          <c:val>
            <c:numRef>
              <c:f>'G 10.2'!$C$3:$H$3</c:f>
              <c:numCache>
                <c:formatCode>0.00</c:formatCode>
                <c:ptCount val="6"/>
                <c:pt idx="0">
                  <c:v>66.666666666666671</c:v>
                </c:pt>
                <c:pt idx="1">
                  <c:v>33.333333333333329</c:v>
                </c:pt>
                <c:pt idx="2">
                  <c:v>52.643109861199314</c:v>
                </c:pt>
                <c:pt idx="3">
                  <c:v>47.356890138800686</c:v>
                </c:pt>
                <c:pt idx="4">
                  <c:v>66.524574038340461</c:v>
                </c:pt>
                <c:pt idx="5">
                  <c:v>33.475425961659546</c:v>
                </c:pt>
              </c:numCache>
            </c:numRef>
          </c:val>
          <c:extLst xmlns:c16r2="http://schemas.microsoft.com/office/drawing/2015/06/chart">
            <c:ext xmlns:c16="http://schemas.microsoft.com/office/drawing/2014/chart" uri="{C3380CC4-5D6E-409C-BE32-E72D297353CC}">
              <c16:uniqueId val="{00000000-D0DF-4A28-8BA6-90DF2A0BEA91}"/>
            </c:ext>
          </c:extLst>
        </c:ser>
        <c:dLbls>
          <c:showLegendKey val="0"/>
          <c:showVal val="1"/>
          <c:showCatName val="0"/>
          <c:showSerName val="0"/>
          <c:showPercent val="0"/>
          <c:showBubbleSize val="0"/>
        </c:dLbls>
        <c:gapWidth val="84"/>
        <c:gapDepth val="53"/>
        <c:shape val="box"/>
        <c:axId val="265893376"/>
        <c:axId val="50598976"/>
        <c:axId val="0"/>
      </c:bar3DChart>
      <c:catAx>
        <c:axId val="265893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crossAx val="50598976"/>
        <c:crosses val="autoZero"/>
        <c:auto val="1"/>
        <c:lblAlgn val="ctr"/>
        <c:lblOffset val="100"/>
        <c:noMultiLvlLbl val="0"/>
      </c:catAx>
      <c:valAx>
        <c:axId val="50598976"/>
        <c:scaling>
          <c:orientation val="minMax"/>
        </c:scaling>
        <c:delete val="1"/>
        <c:axPos val="l"/>
        <c:numFmt formatCode="0.00" sourceLinked="1"/>
        <c:majorTickMark val="out"/>
        <c:minorTickMark val="none"/>
        <c:tickLblPos val="nextTo"/>
        <c:crossAx val="265893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tx2">
        <a:lumMod val="50000"/>
      </a:schemeClr>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 10.3'!$B$1</c:f>
              <c:strCache>
                <c:ptCount val="1"/>
                <c:pt idx="0">
                  <c:v>Laki-Laki</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 10.3'!$A$2:$A$16</c:f>
              <c:strCache>
                <c:ptCount val="15"/>
                <c:pt idx="0">
                  <c:v>Gunung Mas</c:v>
                </c:pt>
                <c:pt idx="1">
                  <c:v>Barito Selatan</c:v>
                </c:pt>
                <c:pt idx="2">
                  <c:v>KALIMANTAN TENGAH</c:v>
                </c:pt>
                <c:pt idx="3">
                  <c:v>Barito Utara</c:v>
                </c:pt>
                <c:pt idx="4">
                  <c:v>Kota Palangka Raya</c:v>
                </c:pt>
                <c:pt idx="5">
                  <c:v>Pulang Pisau</c:v>
                </c:pt>
                <c:pt idx="6">
                  <c:v>Barito Timur</c:v>
                </c:pt>
                <c:pt idx="7">
                  <c:v>Kapuas</c:v>
                </c:pt>
                <c:pt idx="8">
                  <c:v>Sukamara</c:v>
                </c:pt>
                <c:pt idx="9">
                  <c:v>Kotawaringin Timur</c:v>
                </c:pt>
                <c:pt idx="10">
                  <c:v>Lamandau</c:v>
                </c:pt>
                <c:pt idx="11">
                  <c:v>Kotawaringin Barat</c:v>
                </c:pt>
                <c:pt idx="12">
                  <c:v>Katingan</c:v>
                </c:pt>
                <c:pt idx="13">
                  <c:v>Murung Raya</c:v>
                </c:pt>
                <c:pt idx="14">
                  <c:v>Seruyan</c:v>
                </c:pt>
              </c:strCache>
            </c:strRef>
          </c:cat>
          <c:val>
            <c:numRef>
              <c:f>'G 10.3'!$B$2:$B$16</c:f>
              <c:numCache>
                <c:formatCode>0.00</c:formatCode>
                <c:ptCount val="15"/>
                <c:pt idx="0">
                  <c:v>52</c:v>
                </c:pt>
                <c:pt idx="1">
                  <c:v>60</c:v>
                </c:pt>
                <c:pt idx="2">
                  <c:v>66.666666666666671</c:v>
                </c:pt>
                <c:pt idx="3">
                  <c:v>66.666666666666671</c:v>
                </c:pt>
                <c:pt idx="4">
                  <c:v>68.965517241379303</c:v>
                </c:pt>
                <c:pt idx="5">
                  <c:v>72</c:v>
                </c:pt>
                <c:pt idx="6">
                  <c:v>72</c:v>
                </c:pt>
                <c:pt idx="7">
                  <c:v>72.5</c:v>
                </c:pt>
                <c:pt idx="8">
                  <c:v>75</c:v>
                </c:pt>
                <c:pt idx="9">
                  <c:v>79.487179487179489</c:v>
                </c:pt>
                <c:pt idx="10">
                  <c:v>80</c:v>
                </c:pt>
                <c:pt idx="11">
                  <c:v>83.333333333333343</c:v>
                </c:pt>
                <c:pt idx="12">
                  <c:v>84</c:v>
                </c:pt>
                <c:pt idx="13">
                  <c:v>84</c:v>
                </c:pt>
                <c:pt idx="14">
                  <c:v>88</c:v>
                </c:pt>
              </c:numCache>
            </c:numRef>
          </c:val>
          <c:extLst xmlns:c16r2="http://schemas.microsoft.com/office/drawing/2015/06/chart">
            <c:ext xmlns:c16="http://schemas.microsoft.com/office/drawing/2014/chart" uri="{C3380CC4-5D6E-409C-BE32-E72D297353CC}">
              <c16:uniqueId val="{00000000-C07C-48BB-A55D-3636C9513EE0}"/>
            </c:ext>
          </c:extLst>
        </c:ser>
        <c:ser>
          <c:idx val="1"/>
          <c:order val="1"/>
          <c:tx>
            <c:strRef>
              <c:f>'G 10.3'!$C$1</c:f>
              <c:strCache>
                <c:ptCount val="1"/>
                <c:pt idx="0">
                  <c:v>Perempuan</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 10.3'!$A$2:$A$16</c:f>
              <c:strCache>
                <c:ptCount val="15"/>
                <c:pt idx="0">
                  <c:v>Gunung Mas</c:v>
                </c:pt>
                <c:pt idx="1">
                  <c:v>Barito Selatan</c:v>
                </c:pt>
                <c:pt idx="2">
                  <c:v>KALIMANTAN TENGAH</c:v>
                </c:pt>
                <c:pt idx="3">
                  <c:v>Barito Utara</c:v>
                </c:pt>
                <c:pt idx="4">
                  <c:v>Kota Palangka Raya</c:v>
                </c:pt>
                <c:pt idx="5">
                  <c:v>Pulang Pisau</c:v>
                </c:pt>
                <c:pt idx="6">
                  <c:v>Barito Timur</c:v>
                </c:pt>
                <c:pt idx="7">
                  <c:v>Kapuas</c:v>
                </c:pt>
                <c:pt idx="8">
                  <c:v>Sukamara</c:v>
                </c:pt>
                <c:pt idx="9">
                  <c:v>Kotawaringin Timur</c:v>
                </c:pt>
                <c:pt idx="10">
                  <c:v>Lamandau</c:v>
                </c:pt>
                <c:pt idx="11">
                  <c:v>Kotawaringin Barat</c:v>
                </c:pt>
                <c:pt idx="12">
                  <c:v>Katingan</c:v>
                </c:pt>
                <c:pt idx="13">
                  <c:v>Murung Raya</c:v>
                </c:pt>
                <c:pt idx="14">
                  <c:v>Seruyan</c:v>
                </c:pt>
              </c:strCache>
            </c:strRef>
          </c:cat>
          <c:val>
            <c:numRef>
              <c:f>'G 10.3'!$C$2:$C$16</c:f>
              <c:numCache>
                <c:formatCode>0.00</c:formatCode>
                <c:ptCount val="15"/>
                <c:pt idx="0">
                  <c:v>48</c:v>
                </c:pt>
                <c:pt idx="1">
                  <c:v>40</c:v>
                </c:pt>
                <c:pt idx="2">
                  <c:v>33.333333333333329</c:v>
                </c:pt>
                <c:pt idx="3">
                  <c:v>33.333333333333329</c:v>
                </c:pt>
                <c:pt idx="4">
                  <c:v>31.03448275862069</c:v>
                </c:pt>
                <c:pt idx="5">
                  <c:v>28.000000000000004</c:v>
                </c:pt>
                <c:pt idx="6">
                  <c:v>28.000000000000004</c:v>
                </c:pt>
                <c:pt idx="7">
                  <c:v>27.500000000000004</c:v>
                </c:pt>
                <c:pt idx="8">
                  <c:v>25</c:v>
                </c:pt>
                <c:pt idx="9">
                  <c:v>20.512820512820511</c:v>
                </c:pt>
                <c:pt idx="10">
                  <c:v>20</c:v>
                </c:pt>
                <c:pt idx="11">
                  <c:v>16.666666666666664</c:v>
                </c:pt>
                <c:pt idx="12">
                  <c:v>16</c:v>
                </c:pt>
                <c:pt idx="13">
                  <c:v>16</c:v>
                </c:pt>
                <c:pt idx="14">
                  <c:v>12</c:v>
                </c:pt>
              </c:numCache>
            </c:numRef>
          </c:val>
          <c:extLst xmlns:c16r2="http://schemas.microsoft.com/office/drawing/2015/06/chart">
            <c:ext xmlns:c16="http://schemas.microsoft.com/office/drawing/2014/chart" uri="{C3380CC4-5D6E-409C-BE32-E72D297353CC}">
              <c16:uniqueId val="{00000001-C07C-48BB-A55D-3636C9513EE0}"/>
            </c:ext>
          </c:extLst>
        </c:ser>
        <c:dLbls>
          <c:dLblPos val="ctr"/>
          <c:showLegendKey val="0"/>
          <c:showVal val="1"/>
          <c:showCatName val="0"/>
          <c:showSerName val="0"/>
          <c:showPercent val="0"/>
          <c:showBubbleSize val="0"/>
        </c:dLbls>
        <c:gapWidth val="50"/>
        <c:overlap val="100"/>
        <c:axId val="265010176"/>
        <c:axId val="50600704"/>
      </c:barChart>
      <c:catAx>
        <c:axId val="26501017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600704"/>
        <c:crosses val="autoZero"/>
        <c:auto val="1"/>
        <c:lblAlgn val="ctr"/>
        <c:lblOffset val="100"/>
        <c:noMultiLvlLbl val="0"/>
      </c:catAx>
      <c:valAx>
        <c:axId val="50600704"/>
        <c:scaling>
          <c:orientation val="minMax"/>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crossAx val="265010176"/>
        <c:crosses val="autoZero"/>
        <c:crossBetween val="between"/>
      </c:valAx>
      <c:spPr>
        <a:noFill/>
        <a:ln>
          <a:noFill/>
        </a:ln>
        <a:effectLst/>
      </c:spPr>
    </c:plotArea>
    <c:legend>
      <c:legendPos val="b"/>
      <c:layout>
        <c:manualLayout>
          <c:xMode val="edge"/>
          <c:yMode val="edge"/>
          <c:x val="0.36424730143279083"/>
          <c:y val="0.88466185476815384"/>
          <c:w val="0.37988785694760213"/>
          <c:h val="8.9713546572228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 10.4'!$B$1</c:f>
              <c:strCache>
                <c:ptCount val="1"/>
                <c:pt idx="0">
                  <c:v>Laki-Laki</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 10.4'!$A$2:$A$16</c:f>
              <c:strCache>
                <c:ptCount val="15"/>
                <c:pt idx="0">
                  <c:v>Kapuas</c:v>
                </c:pt>
                <c:pt idx="1">
                  <c:v>Lamandau</c:v>
                </c:pt>
                <c:pt idx="2">
                  <c:v>Barito Utara</c:v>
                </c:pt>
                <c:pt idx="3">
                  <c:v>Barito Timur</c:v>
                </c:pt>
                <c:pt idx="4">
                  <c:v>Sukamara</c:v>
                </c:pt>
                <c:pt idx="5">
                  <c:v>Pulang Pisau</c:v>
                </c:pt>
                <c:pt idx="6">
                  <c:v>Katingan</c:v>
                </c:pt>
                <c:pt idx="7">
                  <c:v>Murung Raya</c:v>
                </c:pt>
                <c:pt idx="8">
                  <c:v>KALIMANTAN TENGAH</c:v>
                </c:pt>
                <c:pt idx="9">
                  <c:v>Barito Selatan</c:v>
                </c:pt>
                <c:pt idx="10">
                  <c:v>Kota Palangka Raya</c:v>
                </c:pt>
                <c:pt idx="11">
                  <c:v>Gunung Mas</c:v>
                </c:pt>
                <c:pt idx="12">
                  <c:v>Kotawaringin Barat</c:v>
                </c:pt>
                <c:pt idx="13">
                  <c:v>Seruyan</c:v>
                </c:pt>
                <c:pt idx="14">
                  <c:v>Kotawaringin Timur</c:v>
                </c:pt>
              </c:strCache>
            </c:strRef>
          </c:cat>
          <c:val>
            <c:numRef>
              <c:f>'G 10.4'!$B$2:$B$16</c:f>
              <c:numCache>
                <c:formatCode>0.00</c:formatCode>
                <c:ptCount val="15"/>
                <c:pt idx="0">
                  <c:v>45.13833992094861</c:v>
                </c:pt>
                <c:pt idx="1">
                  <c:v>45.659255063022229</c:v>
                </c:pt>
                <c:pt idx="2">
                  <c:v>46.945551128818067</c:v>
                </c:pt>
                <c:pt idx="3">
                  <c:v>48.146240988671472</c:v>
                </c:pt>
                <c:pt idx="4">
                  <c:v>51.351805205709489</c:v>
                </c:pt>
                <c:pt idx="5">
                  <c:v>51.957656612529</c:v>
                </c:pt>
                <c:pt idx="6">
                  <c:v>52.194520807659494</c:v>
                </c:pt>
                <c:pt idx="7">
                  <c:v>52.423038728897716</c:v>
                </c:pt>
                <c:pt idx="8">
                  <c:v>52.643109861199314</c:v>
                </c:pt>
                <c:pt idx="9">
                  <c:v>54.352536800418441</c:v>
                </c:pt>
                <c:pt idx="10">
                  <c:v>54.357645126520552</c:v>
                </c:pt>
                <c:pt idx="11">
                  <c:v>55.456713132795308</c:v>
                </c:pt>
                <c:pt idx="12">
                  <c:v>55.612757408337522</c:v>
                </c:pt>
                <c:pt idx="13">
                  <c:v>56.069364161849713</c:v>
                </c:pt>
                <c:pt idx="14">
                  <c:v>56.439171192362245</c:v>
                </c:pt>
              </c:numCache>
            </c:numRef>
          </c:val>
          <c:extLst xmlns:c16r2="http://schemas.microsoft.com/office/drawing/2015/06/chart">
            <c:ext xmlns:c16="http://schemas.microsoft.com/office/drawing/2014/chart" uri="{C3380CC4-5D6E-409C-BE32-E72D297353CC}">
              <c16:uniqueId val="{00000000-E4F1-4EFD-AC8B-1ED64C894370}"/>
            </c:ext>
          </c:extLst>
        </c:ser>
        <c:ser>
          <c:idx val="1"/>
          <c:order val="1"/>
          <c:tx>
            <c:strRef>
              <c:f>'G 10.4'!$C$1</c:f>
              <c:strCache>
                <c:ptCount val="1"/>
                <c:pt idx="0">
                  <c:v>Perempuan</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 10.4'!$A$2:$A$16</c:f>
              <c:strCache>
                <c:ptCount val="15"/>
                <c:pt idx="0">
                  <c:v>Kapuas</c:v>
                </c:pt>
                <c:pt idx="1">
                  <c:v>Lamandau</c:v>
                </c:pt>
                <c:pt idx="2">
                  <c:v>Barito Utara</c:v>
                </c:pt>
                <c:pt idx="3">
                  <c:v>Barito Timur</c:v>
                </c:pt>
                <c:pt idx="4">
                  <c:v>Sukamara</c:v>
                </c:pt>
                <c:pt idx="5">
                  <c:v>Pulang Pisau</c:v>
                </c:pt>
                <c:pt idx="6">
                  <c:v>Katingan</c:v>
                </c:pt>
                <c:pt idx="7">
                  <c:v>Murung Raya</c:v>
                </c:pt>
                <c:pt idx="8">
                  <c:v>KALIMANTAN TENGAH</c:v>
                </c:pt>
                <c:pt idx="9">
                  <c:v>Barito Selatan</c:v>
                </c:pt>
                <c:pt idx="10">
                  <c:v>Kota Palangka Raya</c:v>
                </c:pt>
                <c:pt idx="11">
                  <c:v>Gunung Mas</c:v>
                </c:pt>
                <c:pt idx="12">
                  <c:v>Kotawaringin Barat</c:v>
                </c:pt>
                <c:pt idx="13">
                  <c:v>Seruyan</c:v>
                </c:pt>
                <c:pt idx="14">
                  <c:v>Kotawaringin Timur</c:v>
                </c:pt>
              </c:strCache>
            </c:strRef>
          </c:cat>
          <c:val>
            <c:numRef>
              <c:f>'G 10.4'!$C$2:$C$16</c:f>
              <c:numCache>
                <c:formatCode>0.00</c:formatCode>
                <c:ptCount val="15"/>
                <c:pt idx="0">
                  <c:v>54.86166007905139</c:v>
                </c:pt>
                <c:pt idx="1">
                  <c:v>54.340744936977771</c:v>
                </c:pt>
                <c:pt idx="2">
                  <c:v>53.054448871181933</c:v>
                </c:pt>
                <c:pt idx="3">
                  <c:v>51.853759011328528</c:v>
                </c:pt>
                <c:pt idx="4">
                  <c:v>48.648194794290511</c:v>
                </c:pt>
                <c:pt idx="5">
                  <c:v>48.042343387471</c:v>
                </c:pt>
                <c:pt idx="6">
                  <c:v>47.805479192340506</c:v>
                </c:pt>
                <c:pt idx="7">
                  <c:v>47.576961271102284</c:v>
                </c:pt>
                <c:pt idx="8">
                  <c:v>47.356890138800686</c:v>
                </c:pt>
                <c:pt idx="9">
                  <c:v>45.647463199581559</c:v>
                </c:pt>
                <c:pt idx="10">
                  <c:v>45.642354873479448</c:v>
                </c:pt>
                <c:pt idx="11">
                  <c:v>44.543286867204692</c:v>
                </c:pt>
                <c:pt idx="12">
                  <c:v>44.387242591662478</c:v>
                </c:pt>
                <c:pt idx="13">
                  <c:v>43.930635838150287</c:v>
                </c:pt>
                <c:pt idx="14">
                  <c:v>43.560828807637755</c:v>
                </c:pt>
              </c:numCache>
            </c:numRef>
          </c:val>
          <c:extLst xmlns:c16r2="http://schemas.microsoft.com/office/drawing/2015/06/chart">
            <c:ext xmlns:c16="http://schemas.microsoft.com/office/drawing/2014/chart" uri="{C3380CC4-5D6E-409C-BE32-E72D297353CC}">
              <c16:uniqueId val="{00000001-E4F1-4EFD-AC8B-1ED64C894370}"/>
            </c:ext>
          </c:extLst>
        </c:ser>
        <c:dLbls>
          <c:dLblPos val="ctr"/>
          <c:showLegendKey val="0"/>
          <c:showVal val="1"/>
          <c:showCatName val="0"/>
          <c:showSerName val="0"/>
          <c:showPercent val="0"/>
          <c:showBubbleSize val="0"/>
        </c:dLbls>
        <c:gapWidth val="50"/>
        <c:overlap val="100"/>
        <c:axId val="265110016"/>
        <c:axId val="235283008"/>
      </c:barChart>
      <c:catAx>
        <c:axId val="2651100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35283008"/>
        <c:crosses val="autoZero"/>
        <c:auto val="1"/>
        <c:lblAlgn val="ctr"/>
        <c:lblOffset val="100"/>
        <c:noMultiLvlLbl val="0"/>
      </c:catAx>
      <c:valAx>
        <c:axId val="235283008"/>
        <c:scaling>
          <c:orientation val="minMax"/>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crossAx val="2651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manualLayout>
          <c:layoutTarget val="inner"/>
          <c:xMode val="edge"/>
          <c:yMode val="edge"/>
          <c:x val="8.8489561825861693E-2"/>
          <c:y val="3.0337990103263324E-2"/>
          <c:w val="0.87419594888048924"/>
          <c:h val="0.79676595009718365"/>
        </c:manualLayout>
      </c:layout>
      <c:barChart>
        <c:barDir val="col"/>
        <c:grouping val="clustered"/>
        <c:varyColors val="0"/>
        <c:ser>
          <c:idx val="1"/>
          <c:order val="0"/>
          <c:tx>
            <c:strRef>
              <c:f>Sheet1!$B$1</c:f>
              <c:strCache>
                <c:ptCount val="1"/>
                <c:pt idx="0">
                  <c:v>IPG</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Sheet1!$A$2:$A$4</c:f>
              <c:numCache>
                <c:formatCode>0</c:formatCode>
                <c:ptCount val="3"/>
                <c:pt idx="0">
                  <c:v>2011</c:v>
                </c:pt>
                <c:pt idx="1">
                  <c:v>2012</c:v>
                </c:pt>
                <c:pt idx="2">
                  <c:v>2013</c:v>
                </c:pt>
              </c:numCache>
            </c:numRef>
          </c:cat>
          <c:val>
            <c:numRef>
              <c:f>Sheet1!$B$2:$B$4</c:f>
              <c:numCache>
                <c:formatCode>0.00</c:formatCode>
                <c:ptCount val="3"/>
                <c:pt idx="0" formatCode="#,##0.00">
                  <c:v>69.48</c:v>
                </c:pt>
                <c:pt idx="1">
                  <c:v>70.351923849081373</c:v>
                </c:pt>
                <c:pt idx="2" formatCode="#,##0.00">
                  <c:v>68.608822386429679</c:v>
                </c:pt>
              </c:numCache>
            </c:numRef>
          </c:val>
          <c:extLst xmlns:c16r2="http://schemas.microsoft.com/office/drawing/2015/06/chart">
            <c:ext xmlns:c16="http://schemas.microsoft.com/office/drawing/2014/chart" uri="{C3380CC4-5D6E-409C-BE32-E72D297353CC}">
              <c16:uniqueId val="{00000000-70D5-493A-9B42-0983E8D8427D}"/>
            </c:ext>
          </c:extLst>
        </c:ser>
        <c:dLbls>
          <c:showLegendKey val="0"/>
          <c:showVal val="0"/>
          <c:showCatName val="0"/>
          <c:showSerName val="0"/>
          <c:showPercent val="0"/>
          <c:showBubbleSize val="0"/>
        </c:dLbls>
        <c:gapWidth val="75"/>
        <c:axId val="265893888"/>
        <c:axId val="235284736"/>
      </c:barChart>
      <c:catAx>
        <c:axId val="265893888"/>
        <c:scaling>
          <c:orientation val="minMax"/>
        </c:scaling>
        <c:delete val="0"/>
        <c:axPos val="b"/>
        <c:numFmt formatCode="0" sourceLinked="0"/>
        <c:majorTickMark val="none"/>
        <c:minorTickMark val="none"/>
        <c:tickLblPos val="nextTo"/>
        <c:txPr>
          <a:bodyPr rot="0" vert="horz"/>
          <a:lstStyle/>
          <a:p>
            <a:pPr>
              <a:defRPr/>
            </a:pPr>
            <a:endParaRPr lang="en-US"/>
          </a:p>
        </c:txPr>
        <c:crossAx val="235284736"/>
        <c:crosses val="autoZero"/>
        <c:auto val="1"/>
        <c:lblAlgn val="ctr"/>
        <c:lblOffset val="100"/>
        <c:noMultiLvlLbl val="0"/>
      </c:catAx>
      <c:valAx>
        <c:axId val="235284736"/>
        <c:scaling>
          <c:orientation val="minMax"/>
          <c:max val="80"/>
          <c:min val="50"/>
        </c:scaling>
        <c:delete val="0"/>
        <c:axPos val="l"/>
        <c:numFmt formatCode="0" sourceLinked="0"/>
        <c:majorTickMark val="none"/>
        <c:minorTickMark val="none"/>
        <c:tickLblPos val="nextTo"/>
        <c:txPr>
          <a:bodyPr rot="0" vert="horz"/>
          <a:lstStyle/>
          <a:p>
            <a:pPr>
              <a:defRPr/>
            </a:pPr>
            <a:endParaRPr lang="en-US"/>
          </a:p>
        </c:txPr>
        <c:crossAx val="265893888"/>
        <c:crosses val="autoZero"/>
        <c:crossBetween val="between"/>
        <c:majorUnit val="1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72906884031934061"/>
          <c:y val="8.7962962962962965E-2"/>
        </c:manualLayout>
      </c:layout>
      <c:overlay val="0"/>
      <c:spPr>
        <a:noFill/>
        <a:ln>
          <a:noFill/>
        </a:ln>
        <a:effectLst/>
      </c:spPr>
    </c:title>
    <c:autoTitleDeleted val="0"/>
    <c:plotArea>
      <c:layout>
        <c:manualLayout>
          <c:layoutTarget val="inner"/>
          <c:xMode val="edge"/>
          <c:yMode val="edge"/>
          <c:x val="0.20131286089238848"/>
          <c:y val="3.7453703703703718E-2"/>
          <c:w val="0.64494146981627298"/>
          <c:h val="0.66220805944364969"/>
        </c:manualLayout>
      </c:layout>
      <c:barChart>
        <c:barDir val="col"/>
        <c:grouping val="clustered"/>
        <c:varyColors val="0"/>
        <c:ser>
          <c:idx val="1"/>
          <c:order val="0"/>
          <c:tx>
            <c:strRef>
              <c:f>Kependudukan!$B$3</c:f>
              <c:strCache>
                <c:ptCount val="1"/>
                <c:pt idx="0">
                  <c:v>Jumlah Penduduk</c:v>
                </c:pt>
              </c:strCache>
            </c:strRef>
          </c:tx>
          <c:spPr>
            <a:solidFill>
              <a:schemeClr val="accent4">
                <a:lumMod val="20000"/>
                <a:lumOff val="80000"/>
              </a:schemeClr>
            </a:solidFill>
            <a:ln>
              <a:noFill/>
            </a:ln>
            <a:effectLst/>
          </c:spPr>
          <c:invertIfNegative val="0"/>
          <c:cat>
            <c:numRef>
              <c:f>Kependudukan!$A$4:$A$9</c:f>
              <c:numCache>
                <c:formatCode>General</c:formatCode>
                <c:ptCount val="6"/>
                <c:pt idx="0">
                  <c:v>1971</c:v>
                </c:pt>
                <c:pt idx="1">
                  <c:v>1980</c:v>
                </c:pt>
                <c:pt idx="2">
                  <c:v>1990</c:v>
                </c:pt>
                <c:pt idx="3">
                  <c:v>2000</c:v>
                </c:pt>
                <c:pt idx="4">
                  <c:v>2010</c:v>
                </c:pt>
                <c:pt idx="5">
                  <c:v>2020</c:v>
                </c:pt>
              </c:numCache>
            </c:numRef>
          </c:cat>
          <c:val>
            <c:numRef>
              <c:f>Kependudukan!$B$4:$B$9</c:f>
              <c:numCache>
                <c:formatCode>General</c:formatCode>
                <c:ptCount val="6"/>
                <c:pt idx="0">
                  <c:v>701.93600000000004</c:v>
                </c:pt>
                <c:pt idx="1">
                  <c:v>954.17600000000004</c:v>
                </c:pt>
                <c:pt idx="2">
                  <c:v>1396.4860000000001</c:v>
                </c:pt>
                <c:pt idx="3">
                  <c:v>1627.453</c:v>
                </c:pt>
                <c:pt idx="4">
                  <c:v>2212.0889999999999</c:v>
                </c:pt>
                <c:pt idx="5">
                  <c:v>2669.9690000000001</c:v>
                </c:pt>
              </c:numCache>
            </c:numRef>
          </c:val>
          <c:extLst xmlns:c16r2="http://schemas.microsoft.com/office/drawing/2015/06/chart">
            <c:ext xmlns:c16="http://schemas.microsoft.com/office/drawing/2014/chart" uri="{C3380CC4-5D6E-409C-BE32-E72D297353CC}">
              <c16:uniqueId val="{00000000-C95A-44DD-BF62-165BCC879432}"/>
            </c:ext>
          </c:extLst>
        </c:ser>
        <c:dLbls>
          <c:showLegendKey val="0"/>
          <c:showVal val="0"/>
          <c:showCatName val="0"/>
          <c:showSerName val="0"/>
          <c:showPercent val="0"/>
          <c:showBubbleSize val="0"/>
        </c:dLbls>
        <c:gapWidth val="20"/>
        <c:axId val="235184128"/>
        <c:axId val="234076928"/>
      </c:barChart>
      <c:lineChart>
        <c:grouping val="standard"/>
        <c:varyColors val="0"/>
        <c:ser>
          <c:idx val="2"/>
          <c:order val="1"/>
          <c:tx>
            <c:strRef>
              <c:f>Kependudukan!$C$3</c:f>
              <c:strCache>
                <c:ptCount val="1"/>
                <c:pt idx="0">
                  <c:v>Laju Pertumbuhan Penduduk</c:v>
                </c:pt>
              </c:strCache>
            </c:strRef>
          </c:tx>
          <c:spPr>
            <a:ln w="28575" cap="rnd">
              <a:solidFill>
                <a:schemeClr val="accent3"/>
              </a:solidFill>
              <a:round/>
            </a:ln>
            <a:effectLst/>
          </c:spPr>
          <c:marker>
            <c:symbol val="none"/>
          </c:marker>
          <c:val>
            <c:numRef>
              <c:f>Kependudukan!$C$4:$C$9</c:f>
              <c:numCache>
                <c:formatCode>General</c:formatCode>
                <c:ptCount val="6"/>
                <c:pt idx="0">
                  <c:v>3.52</c:v>
                </c:pt>
                <c:pt idx="1">
                  <c:v>3.47</c:v>
                </c:pt>
                <c:pt idx="2">
                  <c:v>3.88</c:v>
                </c:pt>
                <c:pt idx="3">
                  <c:v>2.89</c:v>
                </c:pt>
                <c:pt idx="4">
                  <c:v>1.79</c:v>
                </c:pt>
                <c:pt idx="5">
                  <c:v>1.84</c:v>
                </c:pt>
              </c:numCache>
            </c:numRef>
          </c:val>
          <c:smooth val="0"/>
          <c:extLst xmlns:c16r2="http://schemas.microsoft.com/office/drawing/2015/06/chart">
            <c:ext xmlns:c16="http://schemas.microsoft.com/office/drawing/2014/chart" uri="{C3380CC4-5D6E-409C-BE32-E72D297353CC}">
              <c16:uniqueId val="{00000001-C95A-44DD-BF62-165BCC879432}"/>
            </c:ext>
          </c:extLst>
        </c:ser>
        <c:dLbls>
          <c:showLegendKey val="0"/>
          <c:showVal val="0"/>
          <c:showCatName val="0"/>
          <c:showSerName val="0"/>
          <c:showPercent val="0"/>
          <c:showBubbleSize val="0"/>
        </c:dLbls>
        <c:marker val="1"/>
        <c:smooth val="0"/>
        <c:axId val="275541504"/>
        <c:axId val="234077504"/>
      </c:lineChart>
      <c:catAx>
        <c:axId val="235184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Tahun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76928"/>
        <c:crosses val="autoZero"/>
        <c:auto val="1"/>
        <c:lblAlgn val="ctr"/>
        <c:lblOffset val="100"/>
        <c:noMultiLvlLbl val="0"/>
      </c:catAx>
      <c:valAx>
        <c:axId val="23407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Penduduk (ribu jiwa)</a:t>
                </a:r>
              </a:p>
            </c:rich>
          </c:tx>
          <c:layout>
            <c:manualLayout>
              <c:xMode val="edge"/>
              <c:yMode val="edge"/>
              <c:x val="3.3665616797900262E-2"/>
              <c:y val="0.16208799821242165"/>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84128"/>
        <c:crosses val="autoZero"/>
        <c:crossBetween val="between"/>
      </c:valAx>
      <c:valAx>
        <c:axId val="2340775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541504"/>
        <c:crosses val="max"/>
        <c:crossBetween val="between"/>
      </c:valAx>
      <c:catAx>
        <c:axId val="275541504"/>
        <c:scaling>
          <c:orientation val="minMax"/>
        </c:scaling>
        <c:delete val="1"/>
        <c:axPos val="b"/>
        <c:majorTickMark val="none"/>
        <c:minorTickMark val="none"/>
        <c:tickLblPos val="nextTo"/>
        <c:crossAx val="234077504"/>
        <c:crosses val="autoZero"/>
        <c:auto val="1"/>
        <c:lblAlgn val="ctr"/>
        <c:lblOffset val="100"/>
        <c:noMultiLvlLbl val="0"/>
      </c:catAx>
      <c:spPr>
        <a:noFill/>
        <a:ln>
          <a:noFill/>
        </a:ln>
        <a:effectLst/>
      </c:spPr>
    </c:plotArea>
    <c:legend>
      <c:legendPos val="r"/>
      <c:layout>
        <c:manualLayout>
          <c:xMode val="edge"/>
          <c:yMode val="edge"/>
          <c:x val="6.9795347335569399E-2"/>
          <c:y val="0.8684629160872045"/>
          <c:w val="0.90480870984521011"/>
          <c:h val="6.47095923083066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 10.5'!$A$3</c:f>
              <c:strCache>
                <c:ptCount val="1"/>
                <c:pt idx="0">
                  <c:v>TPAK laki-laki</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 10.5'!$B$2:$D$2</c:f>
              <c:numCache>
                <c:formatCode>General</c:formatCode>
                <c:ptCount val="3"/>
                <c:pt idx="0">
                  <c:v>2019</c:v>
                </c:pt>
                <c:pt idx="1">
                  <c:v>2020</c:v>
                </c:pt>
                <c:pt idx="2">
                  <c:v>2021</c:v>
                </c:pt>
              </c:numCache>
            </c:numRef>
          </c:cat>
          <c:val>
            <c:numRef>
              <c:f>'G 10.5'!$B$3:$D$3</c:f>
              <c:numCache>
                <c:formatCode>General</c:formatCode>
                <c:ptCount val="3"/>
                <c:pt idx="0">
                  <c:v>85.43</c:v>
                </c:pt>
                <c:pt idx="1">
                  <c:v>84.67</c:v>
                </c:pt>
                <c:pt idx="2" formatCode="0.00">
                  <c:v>84.70158050649637</c:v>
                </c:pt>
              </c:numCache>
            </c:numRef>
          </c:val>
          <c:extLst xmlns:c16r2="http://schemas.microsoft.com/office/drawing/2015/06/chart">
            <c:ext xmlns:c16="http://schemas.microsoft.com/office/drawing/2014/chart" uri="{C3380CC4-5D6E-409C-BE32-E72D297353CC}">
              <c16:uniqueId val="{00000000-439E-48EE-8AC9-466EE367FD26}"/>
            </c:ext>
          </c:extLst>
        </c:ser>
        <c:ser>
          <c:idx val="1"/>
          <c:order val="1"/>
          <c:tx>
            <c:strRef>
              <c:f>'G 10.5'!$A$4</c:f>
              <c:strCache>
                <c:ptCount val="1"/>
                <c:pt idx="0">
                  <c:v>TPAK perempuan</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 10.5'!$B$2:$D$2</c:f>
              <c:numCache>
                <c:formatCode>General</c:formatCode>
                <c:ptCount val="3"/>
                <c:pt idx="0">
                  <c:v>2019</c:v>
                </c:pt>
                <c:pt idx="1">
                  <c:v>2020</c:v>
                </c:pt>
                <c:pt idx="2">
                  <c:v>2021</c:v>
                </c:pt>
              </c:numCache>
            </c:numRef>
          </c:cat>
          <c:val>
            <c:numRef>
              <c:f>'G 10.5'!$B$4:$D$4</c:f>
              <c:numCache>
                <c:formatCode>General</c:formatCode>
                <c:ptCount val="3"/>
                <c:pt idx="0">
                  <c:v>51.53</c:v>
                </c:pt>
                <c:pt idx="1">
                  <c:v>50.57</c:v>
                </c:pt>
                <c:pt idx="2" formatCode="0.00">
                  <c:v>51.119152641571389</c:v>
                </c:pt>
              </c:numCache>
            </c:numRef>
          </c:val>
          <c:extLst xmlns:c16r2="http://schemas.microsoft.com/office/drawing/2015/06/chart">
            <c:ext xmlns:c16="http://schemas.microsoft.com/office/drawing/2014/chart" uri="{C3380CC4-5D6E-409C-BE32-E72D297353CC}">
              <c16:uniqueId val="{00000001-439E-48EE-8AC9-466EE367FD26}"/>
            </c:ext>
          </c:extLst>
        </c:ser>
        <c:dLbls>
          <c:dLblPos val="outEnd"/>
          <c:showLegendKey val="0"/>
          <c:showVal val="1"/>
          <c:showCatName val="0"/>
          <c:showSerName val="0"/>
          <c:showPercent val="0"/>
          <c:showBubbleSize val="0"/>
        </c:dLbls>
        <c:gapWidth val="219"/>
        <c:overlap val="-27"/>
        <c:axId val="265895424"/>
        <c:axId val="235286464"/>
      </c:barChart>
      <c:catAx>
        <c:axId val="26589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35286464"/>
        <c:crosses val="autoZero"/>
        <c:auto val="1"/>
        <c:lblAlgn val="ctr"/>
        <c:lblOffset val="100"/>
        <c:noMultiLvlLbl val="0"/>
      </c:catAx>
      <c:valAx>
        <c:axId val="235286464"/>
        <c:scaling>
          <c:orientation val="minMax"/>
        </c:scaling>
        <c:delete val="1"/>
        <c:axPos val="l"/>
        <c:numFmt formatCode="General" sourceLinked="1"/>
        <c:majorTickMark val="none"/>
        <c:minorTickMark val="none"/>
        <c:tickLblPos val="nextTo"/>
        <c:crossAx val="26589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Kabkota!$C$4:$C$6</c:f>
              <c:strCache>
                <c:ptCount val="3"/>
                <c:pt idx="0">
                  <c:v>Persentase Keterlibatan di Parlemen</c:v>
                </c:pt>
                <c:pt idx="1">
                  <c:v>2021</c:v>
                </c:pt>
              </c:strCache>
            </c:strRef>
          </c:tx>
          <c:spPr>
            <a:solidFill>
              <a:schemeClr val="accent1"/>
            </a:solidFill>
            <a:ln>
              <a:noFill/>
            </a:ln>
            <a:effectLst/>
          </c:spPr>
          <c:invertIfNegative val="0"/>
          <c:cat>
            <c:strRef>
              <c:f>Kabkota!$B$7:$B$21</c:f>
              <c:strCache>
                <c:ptCount val="15"/>
                <c:pt idx="0">
                  <c:v>KALIMANTAN TENGAH</c:v>
                </c:pt>
                <c:pt idx="1">
                  <c:v>Kotawaringin Barat</c:v>
                </c:pt>
                <c:pt idx="2">
                  <c:v>Kotawaringin Timur</c:v>
                </c:pt>
                <c:pt idx="3">
                  <c:v>Kapuas</c:v>
                </c:pt>
                <c:pt idx="4">
                  <c:v>Barito Selatan</c:v>
                </c:pt>
                <c:pt idx="5">
                  <c:v>Barito Utara</c:v>
                </c:pt>
                <c:pt idx="6">
                  <c:v>Sukamara</c:v>
                </c:pt>
                <c:pt idx="7">
                  <c:v>Lamandau</c:v>
                </c:pt>
                <c:pt idx="8">
                  <c:v>Seruyan</c:v>
                </c:pt>
                <c:pt idx="9">
                  <c:v>Katingan</c:v>
                </c:pt>
                <c:pt idx="10">
                  <c:v>Pulang Pisau</c:v>
                </c:pt>
                <c:pt idx="11">
                  <c:v>Gunung Mas</c:v>
                </c:pt>
                <c:pt idx="12">
                  <c:v>Barito Timur</c:v>
                </c:pt>
                <c:pt idx="13">
                  <c:v>Murung Raya</c:v>
                </c:pt>
                <c:pt idx="14">
                  <c:v>Kota Palangka Raya</c:v>
                </c:pt>
              </c:strCache>
            </c:strRef>
          </c:cat>
          <c:val>
            <c:numRef>
              <c:f>Kabkota!$C$7:$C$21</c:f>
              <c:numCache>
                <c:formatCode>0.00</c:formatCode>
                <c:ptCount val="15"/>
                <c:pt idx="0">
                  <c:v>33.333333333333329</c:v>
                </c:pt>
                <c:pt idx="1">
                  <c:v>16.666666666666664</c:v>
                </c:pt>
                <c:pt idx="2">
                  <c:v>20.512820512820511</c:v>
                </c:pt>
                <c:pt idx="3">
                  <c:v>27.500000000000004</c:v>
                </c:pt>
                <c:pt idx="4">
                  <c:v>40</c:v>
                </c:pt>
                <c:pt idx="5">
                  <c:v>33.333333333333329</c:v>
                </c:pt>
                <c:pt idx="6">
                  <c:v>25</c:v>
                </c:pt>
                <c:pt idx="7">
                  <c:v>20</c:v>
                </c:pt>
                <c:pt idx="8">
                  <c:v>12</c:v>
                </c:pt>
                <c:pt idx="9">
                  <c:v>16</c:v>
                </c:pt>
                <c:pt idx="10">
                  <c:v>28.000000000000004</c:v>
                </c:pt>
                <c:pt idx="11">
                  <c:v>48</c:v>
                </c:pt>
                <c:pt idx="12">
                  <c:v>28.000000000000004</c:v>
                </c:pt>
                <c:pt idx="13">
                  <c:v>16</c:v>
                </c:pt>
                <c:pt idx="14">
                  <c:v>31.03448275862069</c:v>
                </c:pt>
              </c:numCache>
            </c:numRef>
          </c:val>
          <c:extLst xmlns:c16r2="http://schemas.microsoft.com/office/drawing/2015/06/chart">
            <c:ext xmlns:c16="http://schemas.microsoft.com/office/drawing/2014/chart" uri="{C3380CC4-5D6E-409C-BE32-E72D297353CC}">
              <c16:uniqueId val="{00000000-8F48-4290-9F1C-D4A23BB94DEE}"/>
            </c:ext>
          </c:extLst>
        </c:ser>
        <c:ser>
          <c:idx val="1"/>
          <c:order val="1"/>
          <c:tx>
            <c:strRef>
              <c:f>Kabkota!$D$4:$D$6</c:f>
              <c:strCache>
                <c:ptCount val="3"/>
                <c:pt idx="0">
                  <c:v>Persentase Tenaga Manager, Profesional, Administrasi, Teknisi</c:v>
                </c:pt>
                <c:pt idx="1">
                  <c:v>2021</c:v>
                </c:pt>
              </c:strCache>
            </c:strRef>
          </c:tx>
          <c:spPr>
            <a:solidFill>
              <a:schemeClr val="accent2"/>
            </a:solidFill>
            <a:ln>
              <a:noFill/>
            </a:ln>
            <a:effectLst/>
          </c:spPr>
          <c:invertIfNegative val="0"/>
          <c:cat>
            <c:strRef>
              <c:f>Kabkota!$B$7:$B$21</c:f>
              <c:strCache>
                <c:ptCount val="15"/>
                <c:pt idx="0">
                  <c:v>KALIMANTAN TENGAH</c:v>
                </c:pt>
                <c:pt idx="1">
                  <c:v>Kotawaringin Barat</c:v>
                </c:pt>
                <c:pt idx="2">
                  <c:v>Kotawaringin Timur</c:v>
                </c:pt>
                <c:pt idx="3">
                  <c:v>Kapuas</c:v>
                </c:pt>
                <c:pt idx="4">
                  <c:v>Barito Selatan</c:v>
                </c:pt>
                <c:pt idx="5">
                  <c:v>Barito Utara</c:v>
                </c:pt>
                <c:pt idx="6">
                  <c:v>Sukamara</c:v>
                </c:pt>
                <c:pt idx="7">
                  <c:v>Lamandau</c:v>
                </c:pt>
                <c:pt idx="8">
                  <c:v>Seruyan</c:v>
                </c:pt>
                <c:pt idx="9">
                  <c:v>Katingan</c:v>
                </c:pt>
                <c:pt idx="10">
                  <c:v>Pulang Pisau</c:v>
                </c:pt>
                <c:pt idx="11">
                  <c:v>Gunung Mas</c:v>
                </c:pt>
                <c:pt idx="12">
                  <c:v>Barito Timur</c:v>
                </c:pt>
                <c:pt idx="13">
                  <c:v>Murung Raya</c:v>
                </c:pt>
                <c:pt idx="14">
                  <c:v>Kota Palangka Raya</c:v>
                </c:pt>
              </c:strCache>
            </c:strRef>
          </c:cat>
          <c:val>
            <c:numRef>
              <c:f>Kabkota!$D$7:$D$21</c:f>
              <c:numCache>
                <c:formatCode>0.00</c:formatCode>
                <c:ptCount val="15"/>
                <c:pt idx="0">
                  <c:v>47.356890138800686</c:v>
                </c:pt>
                <c:pt idx="1">
                  <c:v>44.387242591662478</c:v>
                </c:pt>
                <c:pt idx="2">
                  <c:v>43.560828807637755</c:v>
                </c:pt>
                <c:pt idx="3">
                  <c:v>54.86166007905139</c:v>
                </c:pt>
                <c:pt idx="4">
                  <c:v>45.647463199581559</c:v>
                </c:pt>
                <c:pt idx="5">
                  <c:v>53.054448871181933</c:v>
                </c:pt>
                <c:pt idx="6">
                  <c:v>48.648194794290511</c:v>
                </c:pt>
                <c:pt idx="7">
                  <c:v>54.340744936977771</c:v>
                </c:pt>
                <c:pt idx="8">
                  <c:v>43.930635838150287</c:v>
                </c:pt>
                <c:pt idx="9">
                  <c:v>47.805479192340506</c:v>
                </c:pt>
                <c:pt idx="10">
                  <c:v>48.042343387471</c:v>
                </c:pt>
                <c:pt idx="11">
                  <c:v>44.543286867204692</c:v>
                </c:pt>
                <c:pt idx="12">
                  <c:v>51.853759011328528</c:v>
                </c:pt>
                <c:pt idx="13">
                  <c:v>47.576961271102284</c:v>
                </c:pt>
                <c:pt idx="14">
                  <c:v>45.642354873479448</c:v>
                </c:pt>
              </c:numCache>
            </c:numRef>
          </c:val>
          <c:extLst xmlns:c16r2="http://schemas.microsoft.com/office/drawing/2015/06/chart">
            <c:ext xmlns:c16="http://schemas.microsoft.com/office/drawing/2014/chart" uri="{C3380CC4-5D6E-409C-BE32-E72D297353CC}">
              <c16:uniqueId val="{00000001-8F48-4290-9F1C-D4A23BB94DEE}"/>
            </c:ext>
          </c:extLst>
        </c:ser>
        <c:ser>
          <c:idx val="2"/>
          <c:order val="2"/>
          <c:tx>
            <c:strRef>
              <c:f>Kabkota!$E$4:$E$6</c:f>
              <c:strCache>
                <c:ptCount val="3"/>
                <c:pt idx="0">
                  <c:v>Sumbangan dalam Pendapatan Kerja</c:v>
                </c:pt>
                <c:pt idx="1">
                  <c:v>2021</c:v>
                </c:pt>
              </c:strCache>
            </c:strRef>
          </c:tx>
          <c:spPr>
            <a:solidFill>
              <a:schemeClr val="accent3"/>
            </a:solidFill>
            <a:ln>
              <a:noFill/>
            </a:ln>
            <a:effectLst/>
          </c:spPr>
          <c:invertIfNegative val="0"/>
          <c:cat>
            <c:strRef>
              <c:f>Kabkota!$B$7:$B$21</c:f>
              <c:strCache>
                <c:ptCount val="15"/>
                <c:pt idx="0">
                  <c:v>KALIMANTAN TENGAH</c:v>
                </c:pt>
                <c:pt idx="1">
                  <c:v>Kotawaringin Barat</c:v>
                </c:pt>
                <c:pt idx="2">
                  <c:v>Kotawaringin Timur</c:v>
                </c:pt>
                <c:pt idx="3">
                  <c:v>Kapuas</c:v>
                </c:pt>
                <c:pt idx="4">
                  <c:v>Barito Selatan</c:v>
                </c:pt>
                <c:pt idx="5">
                  <c:v>Barito Utara</c:v>
                </c:pt>
                <c:pt idx="6">
                  <c:v>Sukamara</c:v>
                </c:pt>
                <c:pt idx="7">
                  <c:v>Lamandau</c:v>
                </c:pt>
                <c:pt idx="8">
                  <c:v>Seruyan</c:v>
                </c:pt>
                <c:pt idx="9">
                  <c:v>Katingan</c:v>
                </c:pt>
                <c:pt idx="10">
                  <c:v>Pulang Pisau</c:v>
                </c:pt>
                <c:pt idx="11">
                  <c:v>Gunung Mas</c:v>
                </c:pt>
                <c:pt idx="12">
                  <c:v>Barito Timur</c:v>
                </c:pt>
                <c:pt idx="13">
                  <c:v>Murung Raya</c:v>
                </c:pt>
                <c:pt idx="14">
                  <c:v>Kota Palangka Raya</c:v>
                </c:pt>
              </c:strCache>
            </c:strRef>
          </c:cat>
          <c:val>
            <c:numRef>
              <c:f>Kabkota!$E$7:$E$21</c:f>
              <c:numCache>
                <c:formatCode>0.00</c:formatCode>
                <c:ptCount val="15"/>
                <c:pt idx="0">
                  <c:v>33.475425961659546</c:v>
                </c:pt>
                <c:pt idx="1">
                  <c:v>23.972749694318978</c:v>
                </c:pt>
                <c:pt idx="2">
                  <c:v>25.96</c:v>
                </c:pt>
                <c:pt idx="3">
                  <c:v>27.650149910146986</c:v>
                </c:pt>
                <c:pt idx="4">
                  <c:v>38.410536399535992</c:v>
                </c:pt>
                <c:pt idx="5">
                  <c:v>43.741381847202291</c:v>
                </c:pt>
                <c:pt idx="6">
                  <c:v>20.231567626147509</c:v>
                </c:pt>
                <c:pt idx="7">
                  <c:v>27.735009686524712</c:v>
                </c:pt>
                <c:pt idx="8">
                  <c:v>27.37</c:v>
                </c:pt>
                <c:pt idx="9">
                  <c:v>29.975861949889914</c:v>
                </c:pt>
                <c:pt idx="10">
                  <c:v>22.788899717905206</c:v>
                </c:pt>
                <c:pt idx="11">
                  <c:v>50.315402305763982</c:v>
                </c:pt>
                <c:pt idx="12">
                  <c:v>44.02865408052579</c:v>
                </c:pt>
                <c:pt idx="13">
                  <c:v>29.451364259423723</c:v>
                </c:pt>
                <c:pt idx="14">
                  <c:v>32.277233984696316</c:v>
                </c:pt>
              </c:numCache>
            </c:numRef>
          </c:val>
          <c:extLst xmlns:c16r2="http://schemas.microsoft.com/office/drawing/2015/06/chart">
            <c:ext xmlns:c16="http://schemas.microsoft.com/office/drawing/2014/chart" uri="{C3380CC4-5D6E-409C-BE32-E72D297353CC}">
              <c16:uniqueId val="{00000002-8F48-4290-9F1C-D4A23BB94DEE}"/>
            </c:ext>
          </c:extLst>
        </c:ser>
        <c:ser>
          <c:idx val="3"/>
          <c:order val="3"/>
          <c:tx>
            <c:strRef>
              <c:f>Kabkota!$F$4:$F$6</c:f>
              <c:strCache>
                <c:ptCount val="3"/>
                <c:pt idx="0">
                  <c:v>IDG</c:v>
                </c:pt>
                <c:pt idx="1">
                  <c:v>2021</c:v>
                </c:pt>
              </c:strCache>
            </c:strRef>
          </c:tx>
          <c:spPr>
            <a:solidFill>
              <a:schemeClr val="accent4"/>
            </a:solidFill>
            <a:ln>
              <a:noFill/>
            </a:ln>
            <a:effectLst/>
          </c:spPr>
          <c:invertIfNegative val="0"/>
          <c:cat>
            <c:strRef>
              <c:f>Kabkota!$B$7:$B$21</c:f>
              <c:strCache>
                <c:ptCount val="15"/>
                <c:pt idx="0">
                  <c:v>KALIMANTAN TENGAH</c:v>
                </c:pt>
                <c:pt idx="1">
                  <c:v>Kotawaringin Barat</c:v>
                </c:pt>
                <c:pt idx="2">
                  <c:v>Kotawaringin Timur</c:v>
                </c:pt>
                <c:pt idx="3">
                  <c:v>Kapuas</c:v>
                </c:pt>
                <c:pt idx="4">
                  <c:v>Barito Selatan</c:v>
                </c:pt>
                <c:pt idx="5">
                  <c:v>Barito Utara</c:v>
                </c:pt>
                <c:pt idx="6">
                  <c:v>Sukamara</c:v>
                </c:pt>
                <c:pt idx="7">
                  <c:v>Lamandau</c:v>
                </c:pt>
                <c:pt idx="8">
                  <c:v>Seruyan</c:v>
                </c:pt>
                <c:pt idx="9">
                  <c:v>Katingan</c:v>
                </c:pt>
                <c:pt idx="10">
                  <c:v>Pulang Pisau</c:v>
                </c:pt>
                <c:pt idx="11">
                  <c:v>Gunung Mas</c:v>
                </c:pt>
                <c:pt idx="12">
                  <c:v>Barito Timur</c:v>
                </c:pt>
                <c:pt idx="13">
                  <c:v>Murung Raya</c:v>
                </c:pt>
                <c:pt idx="14">
                  <c:v>Kota Palangka Raya</c:v>
                </c:pt>
              </c:strCache>
            </c:strRef>
          </c:cat>
          <c:val>
            <c:numRef>
              <c:f>Kabkota!$F$7:$F$21</c:f>
              <c:numCache>
                <c:formatCode>0.00</c:formatCode>
                <c:ptCount val="15"/>
                <c:pt idx="0">
                  <c:v>82.08</c:v>
                </c:pt>
                <c:pt idx="1">
                  <c:v>63.44</c:v>
                </c:pt>
                <c:pt idx="2">
                  <c:v>69.510000000000005</c:v>
                </c:pt>
                <c:pt idx="3">
                  <c:v>73.02</c:v>
                </c:pt>
                <c:pt idx="4">
                  <c:v>86.17</c:v>
                </c:pt>
                <c:pt idx="5">
                  <c:v>85.62</c:v>
                </c:pt>
                <c:pt idx="6">
                  <c:v>66.400000000000006</c:v>
                </c:pt>
                <c:pt idx="7">
                  <c:v>70.260000000000005</c:v>
                </c:pt>
                <c:pt idx="8">
                  <c:v>63.19</c:v>
                </c:pt>
                <c:pt idx="9">
                  <c:v>67.66</c:v>
                </c:pt>
                <c:pt idx="10">
                  <c:v>70.349999999999994</c:v>
                </c:pt>
                <c:pt idx="11">
                  <c:v>88.71</c:v>
                </c:pt>
                <c:pt idx="12">
                  <c:v>82.44</c:v>
                </c:pt>
                <c:pt idx="13">
                  <c:v>67.72</c:v>
                </c:pt>
                <c:pt idx="14">
                  <c:v>78.72</c:v>
                </c:pt>
              </c:numCache>
            </c:numRef>
          </c:val>
          <c:extLst xmlns:c16r2="http://schemas.microsoft.com/office/drawing/2015/06/chart">
            <c:ext xmlns:c16="http://schemas.microsoft.com/office/drawing/2014/chart" uri="{C3380CC4-5D6E-409C-BE32-E72D297353CC}">
              <c16:uniqueId val="{00000003-8F48-4290-9F1C-D4A23BB94DEE}"/>
            </c:ext>
          </c:extLst>
        </c:ser>
        <c:dLbls>
          <c:showLegendKey val="0"/>
          <c:showVal val="0"/>
          <c:showCatName val="0"/>
          <c:showSerName val="0"/>
          <c:showPercent val="0"/>
          <c:showBubbleSize val="0"/>
        </c:dLbls>
        <c:gapWidth val="55"/>
        <c:overlap val="100"/>
        <c:axId val="265113088"/>
        <c:axId val="235288192"/>
      </c:barChart>
      <c:catAx>
        <c:axId val="265113088"/>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235288192"/>
        <c:crosses val="autoZero"/>
        <c:auto val="1"/>
        <c:lblAlgn val="ctr"/>
        <c:lblOffset val="100"/>
        <c:noMultiLvlLbl val="0"/>
      </c:catAx>
      <c:valAx>
        <c:axId val="235288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5113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Sheet4!$G$4</c:f>
              <c:strCache>
                <c:ptCount val="1"/>
                <c:pt idx="0">
                  <c:v>IPG Kalteng</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Sheet4!$H$3:$L$3</c:f>
              <c:strCache>
                <c:ptCount val="5"/>
                <c:pt idx="0">
                  <c:v>2017</c:v>
                </c:pt>
                <c:pt idx="1">
                  <c:v>2018</c:v>
                </c:pt>
                <c:pt idx="2">
                  <c:v>2019</c:v>
                </c:pt>
                <c:pt idx="3">
                  <c:v>2020</c:v>
                </c:pt>
                <c:pt idx="4">
                  <c:v>2021</c:v>
                </c:pt>
              </c:strCache>
            </c:strRef>
          </c:cat>
          <c:val>
            <c:numRef>
              <c:f>Sheet4!$H$4:$L$4</c:f>
              <c:numCache>
                <c:formatCode>General</c:formatCode>
                <c:ptCount val="5"/>
                <c:pt idx="0">
                  <c:v>88.91</c:v>
                </c:pt>
                <c:pt idx="1">
                  <c:v>89.13</c:v>
                </c:pt>
                <c:pt idx="2">
                  <c:v>89.09</c:v>
                </c:pt>
                <c:pt idx="3">
                  <c:v>89.03</c:v>
                </c:pt>
                <c:pt idx="4">
                  <c:v>88.79</c:v>
                </c:pt>
              </c:numCache>
            </c:numRef>
          </c:val>
          <c:smooth val="0"/>
          <c:extLst xmlns:c16r2="http://schemas.microsoft.com/office/drawing/2015/06/chart">
            <c:ext xmlns:c16="http://schemas.microsoft.com/office/drawing/2014/chart" uri="{C3380CC4-5D6E-409C-BE32-E72D297353CC}">
              <c16:uniqueId val="{00000000-3DA8-4BB2-9F39-61C890118887}"/>
            </c:ext>
          </c:extLst>
        </c:ser>
        <c:ser>
          <c:idx val="1"/>
          <c:order val="1"/>
          <c:tx>
            <c:strRef>
              <c:f>Sheet4!$G$6</c:f>
              <c:strCache>
                <c:ptCount val="1"/>
                <c:pt idx="0">
                  <c:v>IPG Indonesia</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Sheet4!$H$3:$L$3</c:f>
              <c:strCache>
                <c:ptCount val="5"/>
                <c:pt idx="0">
                  <c:v>2017</c:v>
                </c:pt>
                <c:pt idx="1">
                  <c:v>2018</c:v>
                </c:pt>
                <c:pt idx="2">
                  <c:v>2019</c:v>
                </c:pt>
                <c:pt idx="3">
                  <c:v>2020</c:v>
                </c:pt>
                <c:pt idx="4">
                  <c:v>2021</c:v>
                </c:pt>
              </c:strCache>
            </c:strRef>
          </c:cat>
          <c:val>
            <c:numRef>
              <c:f>Sheet4!$H$6:$L$6</c:f>
              <c:numCache>
                <c:formatCode>General</c:formatCode>
                <c:ptCount val="5"/>
                <c:pt idx="0">
                  <c:v>90.96</c:v>
                </c:pt>
                <c:pt idx="1">
                  <c:v>90.99</c:v>
                </c:pt>
                <c:pt idx="2">
                  <c:v>91.07</c:v>
                </c:pt>
                <c:pt idx="3">
                  <c:v>91.06</c:v>
                </c:pt>
                <c:pt idx="4">
                  <c:v>91.27</c:v>
                </c:pt>
              </c:numCache>
            </c:numRef>
          </c:val>
          <c:smooth val="0"/>
          <c:extLst xmlns:c16r2="http://schemas.microsoft.com/office/drawing/2015/06/chart">
            <c:ext xmlns:c16="http://schemas.microsoft.com/office/drawing/2014/chart" uri="{C3380CC4-5D6E-409C-BE32-E72D297353CC}">
              <c16:uniqueId val="{00000001-3DA8-4BB2-9F39-61C890118887}"/>
            </c:ext>
          </c:extLst>
        </c:ser>
        <c:dLbls>
          <c:dLblPos val="t"/>
          <c:showLegendKey val="0"/>
          <c:showVal val="1"/>
          <c:showCatName val="0"/>
          <c:showSerName val="0"/>
          <c:showPercent val="0"/>
          <c:showBubbleSize val="0"/>
        </c:dLbls>
        <c:marker val="1"/>
        <c:smooth val="0"/>
        <c:axId val="266370560"/>
        <c:axId val="235289920"/>
      </c:lineChart>
      <c:catAx>
        <c:axId val="26637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289920"/>
        <c:crosses val="autoZero"/>
        <c:auto val="1"/>
        <c:lblAlgn val="ctr"/>
        <c:lblOffset val="100"/>
        <c:noMultiLvlLbl val="0"/>
      </c:catAx>
      <c:valAx>
        <c:axId val="23528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370560"/>
        <c:crosses val="autoZero"/>
        <c:crossBetween val="between"/>
      </c:valAx>
      <c:spPr>
        <a:noFill/>
        <a:ln>
          <a:noFill/>
        </a:ln>
        <a:effectLst/>
      </c:spPr>
    </c:plotArea>
    <c:legend>
      <c:legendPos val="b"/>
      <c:layout>
        <c:manualLayout>
          <c:xMode val="edge"/>
          <c:yMode val="edge"/>
          <c:x val="0.20861323414810426"/>
          <c:y val="0.84920818648492946"/>
          <c:w val="0.57652938559077238"/>
          <c:h val="0.111240066646250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Sheet5!$B$3</c:f>
              <c:strCache>
                <c:ptCount val="1"/>
                <c:pt idx="0">
                  <c:v>Laki-laki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Sheet5!$C$2:$E$2</c:f>
              <c:numCache>
                <c:formatCode>General</c:formatCode>
                <c:ptCount val="3"/>
                <c:pt idx="0">
                  <c:v>2019</c:v>
                </c:pt>
                <c:pt idx="1">
                  <c:v>2020</c:v>
                </c:pt>
                <c:pt idx="2">
                  <c:v>2021</c:v>
                </c:pt>
              </c:numCache>
            </c:numRef>
          </c:cat>
          <c:val>
            <c:numRef>
              <c:f>Sheet5!$C$3:$E$3</c:f>
              <c:numCache>
                <c:formatCode>General</c:formatCode>
                <c:ptCount val="3"/>
                <c:pt idx="0">
                  <c:v>67.790000000000006</c:v>
                </c:pt>
                <c:pt idx="1">
                  <c:v>67.84</c:v>
                </c:pt>
                <c:pt idx="2">
                  <c:v>67.89</c:v>
                </c:pt>
              </c:numCache>
            </c:numRef>
          </c:val>
          <c:smooth val="0"/>
          <c:extLst xmlns:c16r2="http://schemas.microsoft.com/office/drawing/2015/06/chart">
            <c:ext xmlns:c16="http://schemas.microsoft.com/office/drawing/2014/chart" uri="{C3380CC4-5D6E-409C-BE32-E72D297353CC}">
              <c16:uniqueId val="{00000000-DD84-4645-AA5B-6A34ACA3D611}"/>
            </c:ext>
          </c:extLst>
        </c:ser>
        <c:ser>
          <c:idx val="1"/>
          <c:order val="1"/>
          <c:tx>
            <c:strRef>
              <c:f>Sheet5!$B$4</c:f>
              <c:strCache>
                <c:ptCount val="1"/>
                <c:pt idx="0">
                  <c:v>Perempuan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Sheet5!$C$2:$E$2</c:f>
              <c:numCache>
                <c:formatCode>General</c:formatCode>
                <c:ptCount val="3"/>
                <c:pt idx="0">
                  <c:v>2019</c:v>
                </c:pt>
                <c:pt idx="1">
                  <c:v>2020</c:v>
                </c:pt>
                <c:pt idx="2">
                  <c:v>2021</c:v>
                </c:pt>
              </c:numCache>
            </c:numRef>
          </c:cat>
          <c:val>
            <c:numRef>
              <c:f>Sheet5!$C$4:$E$4</c:f>
              <c:numCache>
                <c:formatCode>General</c:formatCode>
                <c:ptCount val="3"/>
                <c:pt idx="0">
                  <c:v>71.599999999999994</c:v>
                </c:pt>
                <c:pt idx="1">
                  <c:v>71.66</c:v>
                </c:pt>
                <c:pt idx="2">
                  <c:v>71.72</c:v>
                </c:pt>
              </c:numCache>
            </c:numRef>
          </c:val>
          <c:smooth val="0"/>
          <c:extLst xmlns:c16r2="http://schemas.microsoft.com/office/drawing/2015/06/chart">
            <c:ext xmlns:c16="http://schemas.microsoft.com/office/drawing/2014/chart" uri="{C3380CC4-5D6E-409C-BE32-E72D297353CC}">
              <c16:uniqueId val="{00000001-DD84-4645-AA5B-6A34ACA3D611}"/>
            </c:ext>
          </c:extLst>
        </c:ser>
        <c:dLbls>
          <c:dLblPos val="t"/>
          <c:showLegendKey val="0"/>
          <c:showVal val="1"/>
          <c:showCatName val="0"/>
          <c:showSerName val="0"/>
          <c:showPercent val="0"/>
          <c:showBubbleSize val="0"/>
        </c:dLbls>
        <c:marker val="1"/>
        <c:smooth val="0"/>
        <c:axId val="265894400"/>
        <c:axId val="235431040"/>
      </c:lineChart>
      <c:catAx>
        <c:axId val="2658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1040"/>
        <c:crosses val="autoZero"/>
        <c:auto val="1"/>
        <c:lblAlgn val="ctr"/>
        <c:lblOffset val="100"/>
        <c:noMultiLvlLbl val="0"/>
      </c:catAx>
      <c:valAx>
        <c:axId val="23543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9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31900576240573E-2"/>
          <c:y val="9.5238095238095233E-2"/>
          <c:w val="0.86502690394718429"/>
          <c:h val="0.59243821795002893"/>
        </c:manualLayout>
      </c:layout>
      <c:barChart>
        <c:barDir val="col"/>
        <c:grouping val="clustered"/>
        <c:varyColors val="0"/>
        <c:ser>
          <c:idx val="0"/>
          <c:order val="0"/>
          <c:tx>
            <c:strRef>
              <c:f>Sheet5!$C$12:$C$13</c:f>
              <c:strCache>
                <c:ptCount val="2"/>
                <c:pt idx="1">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Sheet5!$B$14:$B$15</c:f>
              <c:strCache>
                <c:ptCount val="2"/>
                <c:pt idx="0">
                  <c:v>Laki-laki</c:v>
                </c:pt>
                <c:pt idx="1">
                  <c:v>Perempuan</c:v>
                </c:pt>
              </c:strCache>
            </c:strRef>
          </c:cat>
          <c:val>
            <c:numRef>
              <c:f>Sheet5!$C$14:$C$15</c:f>
              <c:numCache>
                <c:formatCode>General</c:formatCode>
                <c:ptCount val="2"/>
                <c:pt idx="0">
                  <c:v>12.57</c:v>
                </c:pt>
                <c:pt idx="1">
                  <c:v>12.65</c:v>
                </c:pt>
              </c:numCache>
            </c:numRef>
          </c:val>
          <c:extLst xmlns:c16r2="http://schemas.microsoft.com/office/drawing/2015/06/chart">
            <c:ext xmlns:c16="http://schemas.microsoft.com/office/drawing/2014/chart" uri="{C3380CC4-5D6E-409C-BE32-E72D297353CC}">
              <c16:uniqueId val="{00000000-EF33-458C-B357-132C5C2BB4D3}"/>
            </c:ext>
          </c:extLst>
        </c:ser>
        <c:ser>
          <c:idx val="1"/>
          <c:order val="1"/>
          <c:tx>
            <c:strRef>
              <c:f>Sheet5!$D$12:$D$13</c:f>
              <c:strCache>
                <c:ptCount val="2"/>
                <c:pt idx="1">
                  <c:v>2020</c:v>
                </c:pt>
              </c:strCache>
            </c:strRef>
          </c:tx>
          <c:spPr>
            <a:solidFill>
              <a:schemeClr val="accent4">
                <a:lumMod val="20000"/>
                <a:lumOff val="80000"/>
              </a:schemeClr>
            </a:solidFill>
            <a:ln>
              <a:noFill/>
            </a:ln>
            <a:effectLst/>
          </c:spPr>
          <c:invertIfNegative val="0"/>
          <c:dLbls>
            <c:dLbl>
              <c:idx val="1"/>
              <c:layout>
                <c:manualLayout>
                  <c:x val="8.0387235392005382E-4"/>
                  <c:y val="-3.01419635887007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33-458C-B357-132C5C2BB4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Sheet5!$B$14:$B$15</c:f>
              <c:strCache>
                <c:ptCount val="2"/>
                <c:pt idx="0">
                  <c:v>Laki-laki</c:v>
                </c:pt>
                <c:pt idx="1">
                  <c:v>Perempuan</c:v>
                </c:pt>
              </c:strCache>
            </c:strRef>
          </c:cat>
          <c:val>
            <c:numRef>
              <c:f>Sheet5!$D$14:$D$15</c:f>
              <c:numCache>
                <c:formatCode>General</c:formatCode>
                <c:ptCount val="2"/>
                <c:pt idx="0">
                  <c:v>12.67</c:v>
                </c:pt>
                <c:pt idx="1">
                  <c:v>12.66</c:v>
                </c:pt>
              </c:numCache>
            </c:numRef>
          </c:val>
          <c:extLst xmlns:c16r2="http://schemas.microsoft.com/office/drawing/2015/06/chart">
            <c:ext xmlns:c16="http://schemas.microsoft.com/office/drawing/2014/chart" uri="{C3380CC4-5D6E-409C-BE32-E72D297353CC}">
              <c16:uniqueId val="{00000002-EF33-458C-B357-132C5C2BB4D3}"/>
            </c:ext>
          </c:extLst>
        </c:ser>
        <c:ser>
          <c:idx val="2"/>
          <c:order val="2"/>
          <c:tx>
            <c:strRef>
              <c:f>Sheet5!$E$12:$E$13</c:f>
              <c:strCache>
                <c:ptCount val="2"/>
                <c:pt idx="1">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Sheet5!$B$14:$B$15</c:f>
              <c:strCache>
                <c:ptCount val="2"/>
                <c:pt idx="0">
                  <c:v>Laki-laki</c:v>
                </c:pt>
                <c:pt idx="1">
                  <c:v>Perempuan</c:v>
                </c:pt>
              </c:strCache>
            </c:strRef>
          </c:cat>
          <c:val>
            <c:numRef>
              <c:f>Sheet5!$E$14:$E$15</c:f>
              <c:numCache>
                <c:formatCode>General</c:formatCode>
                <c:ptCount val="2"/>
                <c:pt idx="0">
                  <c:v>12.85</c:v>
                </c:pt>
                <c:pt idx="1">
                  <c:v>12.67</c:v>
                </c:pt>
              </c:numCache>
            </c:numRef>
          </c:val>
          <c:extLst xmlns:c16r2="http://schemas.microsoft.com/office/drawing/2015/06/chart">
            <c:ext xmlns:c16="http://schemas.microsoft.com/office/drawing/2014/chart" uri="{C3380CC4-5D6E-409C-BE32-E72D297353CC}">
              <c16:uniqueId val="{00000003-EF33-458C-B357-132C5C2BB4D3}"/>
            </c:ext>
          </c:extLst>
        </c:ser>
        <c:dLbls>
          <c:showLegendKey val="0"/>
          <c:showVal val="1"/>
          <c:showCatName val="0"/>
          <c:showSerName val="0"/>
          <c:showPercent val="0"/>
          <c:showBubbleSize val="0"/>
        </c:dLbls>
        <c:gapWidth val="150"/>
        <c:axId val="265894912"/>
        <c:axId val="235432768"/>
      </c:barChart>
      <c:catAx>
        <c:axId val="2658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2768"/>
        <c:crosses val="autoZero"/>
        <c:auto val="1"/>
        <c:lblAlgn val="ctr"/>
        <c:lblOffset val="100"/>
        <c:noMultiLvlLbl val="0"/>
      </c:catAx>
      <c:valAx>
        <c:axId val="235432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94912"/>
        <c:crosses val="autoZero"/>
        <c:crossBetween val="between"/>
      </c:valAx>
      <c:spPr>
        <a:noFill/>
        <a:ln>
          <a:noFill/>
        </a:ln>
        <a:effectLst/>
      </c:spPr>
    </c:plotArea>
    <c:legend>
      <c:legendPos val="b"/>
      <c:layout>
        <c:manualLayout>
          <c:xMode val="edge"/>
          <c:yMode val="edge"/>
          <c:x val="0.32154452825868496"/>
          <c:y val="0.82766818170127243"/>
          <c:w val="0.35691051043716471"/>
          <c:h val="0.132198340072355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93288276098769E-2"/>
          <c:y val="8.8781275221953185E-2"/>
          <c:w val="0.8752249011622919"/>
          <c:h val="0.64428260026818684"/>
        </c:manualLayout>
      </c:layout>
      <c:lineChart>
        <c:grouping val="standard"/>
        <c:varyColors val="0"/>
        <c:ser>
          <c:idx val="0"/>
          <c:order val="0"/>
          <c:tx>
            <c:strRef>
              <c:f>Sheet5!$B$28</c:f>
              <c:strCache>
                <c:ptCount val="1"/>
                <c:pt idx="0">
                  <c:v>Laki-laki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Sheet5!$C$27:$E$27</c:f>
              <c:numCache>
                <c:formatCode>General</c:formatCode>
                <c:ptCount val="3"/>
                <c:pt idx="0">
                  <c:v>2019</c:v>
                </c:pt>
                <c:pt idx="1">
                  <c:v>2020</c:v>
                </c:pt>
                <c:pt idx="2">
                  <c:v>2021</c:v>
                </c:pt>
              </c:numCache>
            </c:numRef>
          </c:cat>
          <c:val>
            <c:numRef>
              <c:f>Sheet5!$C$28:$E$28</c:f>
              <c:numCache>
                <c:formatCode>General</c:formatCode>
                <c:ptCount val="3"/>
                <c:pt idx="0">
                  <c:v>8.83</c:v>
                </c:pt>
                <c:pt idx="1">
                  <c:v>8.89</c:v>
                </c:pt>
                <c:pt idx="2">
                  <c:v>8.9600000000000009</c:v>
                </c:pt>
              </c:numCache>
            </c:numRef>
          </c:val>
          <c:smooth val="0"/>
          <c:extLst xmlns:c16r2="http://schemas.microsoft.com/office/drawing/2015/06/chart">
            <c:ext xmlns:c16="http://schemas.microsoft.com/office/drawing/2014/chart" uri="{C3380CC4-5D6E-409C-BE32-E72D297353CC}">
              <c16:uniqueId val="{00000000-6201-4C1F-93A3-59E3F11676AB}"/>
            </c:ext>
          </c:extLst>
        </c:ser>
        <c:ser>
          <c:idx val="1"/>
          <c:order val="1"/>
          <c:tx>
            <c:strRef>
              <c:f>Sheet5!$B$29</c:f>
              <c:strCache>
                <c:ptCount val="1"/>
                <c:pt idx="0">
                  <c:v>Perempuan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Sheet5!$C$27:$E$27</c:f>
              <c:numCache>
                <c:formatCode>General</c:formatCode>
                <c:ptCount val="3"/>
                <c:pt idx="0">
                  <c:v>2019</c:v>
                </c:pt>
                <c:pt idx="1">
                  <c:v>2020</c:v>
                </c:pt>
                <c:pt idx="2">
                  <c:v>2021</c:v>
                </c:pt>
              </c:numCache>
            </c:numRef>
          </c:cat>
          <c:val>
            <c:numRef>
              <c:f>Sheet5!$C$29:$E$29</c:f>
              <c:numCache>
                <c:formatCode>General</c:formatCode>
                <c:ptCount val="3"/>
                <c:pt idx="0">
                  <c:v>8.16</c:v>
                </c:pt>
                <c:pt idx="1">
                  <c:v>8.25</c:v>
                </c:pt>
                <c:pt idx="2">
                  <c:v>8.2899999999999991</c:v>
                </c:pt>
              </c:numCache>
            </c:numRef>
          </c:val>
          <c:smooth val="0"/>
          <c:extLst xmlns:c16r2="http://schemas.microsoft.com/office/drawing/2015/06/chart">
            <c:ext xmlns:c16="http://schemas.microsoft.com/office/drawing/2014/chart" uri="{C3380CC4-5D6E-409C-BE32-E72D297353CC}">
              <c16:uniqueId val="{00000001-6201-4C1F-93A3-59E3F11676AB}"/>
            </c:ext>
          </c:extLst>
        </c:ser>
        <c:dLbls>
          <c:dLblPos val="t"/>
          <c:showLegendKey val="0"/>
          <c:showVal val="1"/>
          <c:showCatName val="0"/>
          <c:showSerName val="0"/>
          <c:showPercent val="0"/>
          <c:showBubbleSize val="0"/>
        </c:dLbls>
        <c:marker val="1"/>
        <c:smooth val="0"/>
        <c:axId val="275731968"/>
        <c:axId val="235434496"/>
      </c:lineChart>
      <c:catAx>
        <c:axId val="2757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496"/>
        <c:crosses val="autoZero"/>
        <c:auto val="1"/>
        <c:lblAlgn val="ctr"/>
        <c:lblOffset val="100"/>
        <c:noMultiLvlLbl val="0"/>
      </c:catAx>
      <c:valAx>
        <c:axId val="23543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31968"/>
        <c:crosses val="autoZero"/>
        <c:crossBetween val="between"/>
      </c:valAx>
      <c:spPr>
        <a:noFill/>
        <a:ln>
          <a:noFill/>
        </a:ln>
        <a:effectLst/>
      </c:spPr>
    </c:plotArea>
    <c:legend>
      <c:legendPos val="b"/>
      <c:layout>
        <c:manualLayout>
          <c:xMode val="edge"/>
          <c:yMode val="edge"/>
          <c:x val="0.25864155077849132"/>
          <c:y val="0.84765844947347679"/>
          <c:w val="0.48271663443578355"/>
          <c:h val="0.136199500486168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'Bab 9.2'!$E$47</c:f>
              <c:strCache>
                <c:ptCount val="1"/>
                <c:pt idx="0">
                  <c:v>Rasio Pendapatan Perkapita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'Bab 9.2'!$B$48:$B$50</c:f>
              <c:numCache>
                <c:formatCode>General</c:formatCode>
                <c:ptCount val="3"/>
                <c:pt idx="0">
                  <c:v>2019</c:v>
                </c:pt>
                <c:pt idx="1">
                  <c:v>2020</c:v>
                </c:pt>
                <c:pt idx="2">
                  <c:v>2021</c:v>
                </c:pt>
              </c:numCache>
            </c:numRef>
          </c:cat>
          <c:val>
            <c:numRef>
              <c:f>'Bab 9.2'!$E$48:$E$50</c:f>
              <c:numCache>
                <c:formatCode>0.00</c:formatCode>
                <c:ptCount val="3"/>
                <c:pt idx="0">
                  <c:v>49.575070821529749</c:v>
                </c:pt>
                <c:pt idx="1">
                  <c:v>49.664762850757391</c:v>
                </c:pt>
                <c:pt idx="2">
                  <c:v>49.662476001734071</c:v>
                </c:pt>
              </c:numCache>
            </c:numRef>
          </c:val>
          <c:extLst xmlns:c16r2="http://schemas.microsoft.com/office/drawing/2015/06/chart">
            <c:ext xmlns:c16="http://schemas.microsoft.com/office/drawing/2014/chart" uri="{C3380CC4-5D6E-409C-BE32-E72D297353CC}">
              <c16:uniqueId val="{00000000-4D57-401A-8472-CBFAA069299B}"/>
            </c:ext>
          </c:extLst>
        </c:ser>
        <c:dLbls>
          <c:showLegendKey val="0"/>
          <c:showVal val="1"/>
          <c:showCatName val="0"/>
          <c:showSerName val="0"/>
          <c:showPercent val="0"/>
          <c:showBubbleSize val="0"/>
        </c:dLbls>
        <c:gapWidth val="165"/>
        <c:overlap val="1"/>
        <c:axId val="275732992"/>
        <c:axId val="235436224"/>
      </c:barChart>
      <c:lineChart>
        <c:grouping val="standard"/>
        <c:varyColors val="0"/>
        <c:ser>
          <c:idx val="0"/>
          <c:order val="0"/>
          <c:tx>
            <c:strRef>
              <c:f>'Bab 9.2'!$C$47</c:f>
              <c:strCache>
                <c:ptCount val="1"/>
                <c:pt idx="0">
                  <c:v>Laki-laki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'Bab 9.2'!$B$48:$B$50</c:f>
              <c:numCache>
                <c:formatCode>General</c:formatCode>
                <c:ptCount val="3"/>
                <c:pt idx="0">
                  <c:v>2019</c:v>
                </c:pt>
                <c:pt idx="1">
                  <c:v>2020</c:v>
                </c:pt>
                <c:pt idx="2">
                  <c:v>2021</c:v>
                </c:pt>
              </c:numCache>
            </c:numRef>
          </c:cat>
          <c:val>
            <c:numRef>
              <c:f>'Bab 9.2'!$C$48:$C$50</c:f>
              <c:numCache>
                <c:formatCode>0.00</c:formatCode>
                <c:ptCount val="3"/>
                <c:pt idx="0">
                  <c:v>16.238</c:v>
                </c:pt>
                <c:pt idx="1">
                  <c:v>16.108000000000001</c:v>
                </c:pt>
                <c:pt idx="2">
                  <c:v>16.146999999999998</c:v>
                </c:pt>
              </c:numCache>
            </c:numRef>
          </c:val>
          <c:smooth val="0"/>
          <c:extLst xmlns:c16r2="http://schemas.microsoft.com/office/drawing/2015/06/chart">
            <c:ext xmlns:c16="http://schemas.microsoft.com/office/drawing/2014/chart" uri="{C3380CC4-5D6E-409C-BE32-E72D297353CC}">
              <c16:uniqueId val="{00000001-4D57-401A-8472-CBFAA069299B}"/>
            </c:ext>
          </c:extLst>
        </c:ser>
        <c:ser>
          <c:idx val="1"/>
          <c:order val="1"/>
          <c:tx>
            <c:strRef>
              <c:f>'Bab 9.2'!$D$47</c:f>
              <c:strCache>
                <c:ptCount val="1"/>
                <c:pt idx="0">
                  <c:v>Perempuan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'Bab 9.2'!$B$48:$B$50</c:f>
              <c:numCache>
                <c:formatCode>General</c:formatCode>
                <c:ptCount val="3"/>
                <c:pt idx="0">
                  <c:v>2019</c:v>
                </c:pt>
                <c:pt idx="1">
                  <c:v>2020</c:v>
                </c:pt>
                <c:pt idx="2">
                  <c:v>2021</c:v>
                </c:pt>
              </c:numCache>
            </c:numRef>
          </c:cat>
          <c:val>
            <c:numRef>
              <c:f>'Bab 9.2'!$D$48:$D$50</c:f>
              <c:numCache>
                <c:formatCode>0.00</c:formatCode>
                <c:ptCount val="3"/>
                <c:pt idx="0">
                  <c:v>8.0500000000000007</c:v>
                </c:pt>
                <c:pt idx="1">
                  <c:v>8</c:v>
                </c:pt>
                <c:pt idx="2">
                  <c:v>8.0190000000000001</c:v>
                </c:pt>
              </c:numCache>
            </c:numRef>
          </c:val>
          <c:smooth val="0"/>
          <c:extLst xmlns:c16r2="http://schemas.microsoft.com/office/drawing/2015/06/chart">
            <c:ext xmlns:c16="http://schemas.microsoft.com/office/drawing/2014/chart" uri="{C3380CC4-5D6E-409C-BE32-E72D297353CC}">
              <c16:uniqueId val="{00000002-4D57-401A-8472-CBFAA069299B}"/>
            </c:ext>
          </c:extLst>
        </c:ser>
        <c:dLbls>
          <c:showLegendKey val="0"/>
          <c:showVal val="1"/>
          <c:showCatName val="0"/>
          <c:showSerName val="0"/>
          <c:showPercent val="0"/>
          <c:showBubbleSize val="0"/>
        </c:dLbls>
        <c:marker val="1"/>
        <c:smooth val="0"/>
        <c:axId val="275733504"/>
        <c:axId val="235436800"/>
      </c:lineChart>
      <c:catAx>
        <c:axId val="2757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6224"/>
        <c:crosses val="autoZero"/>
        <c:auto val="1"/>
        <c:lblAlgn val="ctr"/>
        <c:lblOffset val="100"/>
        <c:noMultiLvlLbl val="0"/>
      </c:catAx>
      <c:valAx>
        <c:axId val="235436224"/>
        <c:scaling>
          <c:orientation val="minMax"/>
          <c:max val="100"/>
          <c:min val="4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32992"/>
        <c:crosses val="autoZero"/>
        <c:crossBetween val="between"/>
      </c:valAx>
      <c:valAx>
        <c:axId val="23543680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33504"/>
        <c:crosses val="max"/>
        <c:crossBetween val="between"/>
      </c:valAx>
      <c:catAx>
        <c:axId val="275733504"/>
        <c:scaling>
          <c:orientation val="minMax"/>
        </c:scaling>
        <c:delete val="1"/>
        <c:axPos val="b"/>
        <c:numFmt formatCode="General" sourceLinked="1"/>
        <c:majorTickMark val="none"/>
        <c:minorTickMark val="none"/>
        <c:tickLblPos val="nextTo"/>
        <c:crossAx val="235436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solidFill>
                  <a:schemeClr val="accent2"/>
                </a:solidFill>
              </a:ln>
              <a:effectLst/>
            </c:spPr>
            <c:extLst xmlns:c16r2="http://schemas.microsoft.com/office/drawing/2015/06/chart">
              <c:ext xmlns:c16="http://schemas.microsoft.com/office/drawing/2014/chart" uri="{C3380CC4-5D6E-409C-BE32-E72D297353CC}">
                <c16:uniqueId val="{00000001-CE69-454D-8E8F-22747DC0C4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'Bab 9.1'!$B$29:$B$43</c:f>
              <c:strCache>
                <c:ptCount val="15"/>
                <c:pt idx="0">
                  <c:v>Murung Raya</c:v>
                </c:pt>
                <c:pt idx="1">
                  <c:v>Katingan</c:v>
                </c:pt>
                <c:pt idx="2">
                  <c:v>Barito Utara</c:v>
                </c:pt>
                <c:pt idx="3">
                  <c:v>Kotawaringin Timur</c:v>
                </c:pt>
                <c:pt idx="4">
                  <c:v>Kalimantan Tengah</c:v>
                </c:pt>
                <c:pt idx="5">
                  <c:v>Barito Timur</c:v>
                </c:pt>
                <c:pt idx="6">
                  <c:v>Seruyan</c:v>
                </c:pt>
                <c:pt idx="7">
                  <c:v>Sukamara</c:v>
                </c:pt>
                <c:pt idx="8">
                  <c:v>Kotawaringin Barat</c:v>
                </c:pt>
                <c:pt idx="9">
                  <c:v>Barito Selatan</c:v>
                </c:pt>
                <c:pt idx="10">
                  <c:v>Lamandau</c:v>
                </c:pt>
                <c:pt idx="11">
                  <c:v>Gunung Mas</c:v>
                </c:pt>
                <c:pt idx="12">
                  <c:v>Pulang Pisau</c:v>
                </c:pt>
                <c:pt idx="13">
                  <c:v>Palangka Raya</c:v>
                </c:pt>
                <c:pt idx="14">
                  <c:v>Kapuas</c:v>
                </c:pt>
              </c:strCache>
            </c:strRef>
          </c:cat>
          <c:val>
            <c:numRef>
              <c:f>'Bab 9.1'!$C$29:$C$43</c:f>
              <c:numCache>
                <c:formatCode>General</c:formatCode>
                <c:ptCount val="15"/>
                <c:pt idx="0">
                  <c:v>83.55</c:v>
                </c:pt>
                <c:pt idx="1">
                  <c:v>85.38</c:v>
                </c:pt>
                <c:pt idx="2">
                  <c:v>87.49</c:v>
                </c:pt>
                <c:pt idx="3">
                  <c:v>88.14</c:v>
                </c:pt>
                <c:pt idx="4">
                  <c:v>88.79</c:v>
                </c:pt>
                <c:pt idx="5">
                  <c:v>88.82</c:v>
                </c:pt>
                <c:pt idx="6">
                  <c:v>89.16</c:v>
                </c:pt>
                <c:pt idx="7">
                  <c:v>91.49</c:v>
                </c:pt>
                <c:pt idx="8">
                  <c:v>91.69</c:v>
                </c:pt>
                <c:pt idx="9">
                  <c:v>91.78</c:v>
                </c:pt>
                <c:pt idx="10">
                  <c:v>91.91</c:v>
                </c:pt>
                <c:pt idx="11">
                  <c:v>91.99</c:v>
                </c:pt>
                <c:pt idx="12">
                  <c:v>92.04</c:v>
                </c:pt>
                <c:pt idx="13">
                  <c:v>95.01</c:v>
                </c:pt>
                <c:pt idx="14">
                  <c:v>95.32</c:v>
                </c:pt>
              </c:numCache>
            </c:numRef>
          </c:val>
          <c:extLst xmlns:c16r2="http://schemas.microsoft.com/office/drawing/2015/06/chart">
            <c:ext xmlns:c16="http://schemas.microsoft.com/office/drawing/2014/chart" uri="{C3380CC4-5D6E-409C-BE32-E72D297353CC}">
              <c16:uniqueId val="{00000002-CE69-454D-8E8F-22747DC0C4C7}"/>
            </c:ext>
          </c:extLst>
        </c:ser>
        <c:dLbls>
          <c:dLblPos val="outEnd"/>
          <c:showLegendKey val="0"/>
          <c:showVal val="1"/>
          <c:showCatName val="0"/>
          <c:showSerName val="0"/>
          <c:showPercent val="0"/>
          <c:showBubbleSize val="0"/>
        </c:dLbls>
        <c:gapWidth val="219"/>
        <c:axId val="275734016"/>
        <c:axId val="240534080"/>
      </c:barChart>
      <c:catAx>
        <c:axId val="27573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534080"/>
        <c:crosses val="autoZero"/>
        <c:auto val="1"/>
        <c:lblAlgn val="ctr"/>
        <c:lblOffset val="100"/>
        <c:noMultiLvlLbl val="0"/>
      </c:catAx>
      <c:valAx>
        <c:axId val="240534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34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883069646458876E-2"/>
          <c:y val="6.1639476437994258E-2"/>
          <c:w val="0.94019301345657202"/>
          <c:h val="0.7327399399355109"/>
        </c:manualLayout>
      </c:layout>
      <c:lineChart>
        <c:grouping val="standard"/>
        <c:varyColors val="0"/>
        <c:ser>
          <c:idx val="0"/>
          <c:order val="0"/>
          <c:tx>
            <c:strRef>
              <c:f>Kependudukan!$D$3</c:f>
              <c:strCache>
                <c:ptCount val="1"/>
                <c:pt idx="0">
                  <c:v>RK Muda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Kependudukan!$A$4:$A$9</c:f>
              <c:numCache>
                <c:formatCode>General</c:formatCode>
                <c:ptCount val="6"/>
                <c:pt idx="0">
                  <c:v>1971</c:v>
                </c:pt>
                <c:pt idx="1">
                  <c:v>1980</c:v>
                </c:pt>
                <c:pt idx="2">
                  <c:v>1990</c:v>
                </c:pt>
                <c:pt idx="3">
                  <c:v>2000</c:v>
                </c:pt>
                <c:pt idx="4">
                  <c:v>2010</c:v>
                </c:pt>
                <c:pt idx="5">
                  <c:v>2020</c:v>
                </c:pt>
              </c:numCache>
            </c:numRef>
          </c:cat>
          <c:val>
            <c:numRef>
              <c:f>Kependudukan!$D$4:$D$9</c:f>
              <c:numCache>
                <c:formatCode>General</c:formatCode>
                <c:ptCount val="6"/>
                <c:pt idx="0">
                  <c:v>83.69</c:v>
                </c:pt>
                <c:pt idx="1">
                  <c:v>85.63</c:v>
                </c:pt>
                <c:pt idx="2">
                  <c:v>73.11</c:v>
                </c:pt>
                <c:pt idx="3">
                  <c:v>51.96</c:v>
                </c:pt>
                <c:pt idx="4">
                  <c:v>46.75</c:v>
                </c:pt>
                <c:pt idx="5" formatCode="0.00">
                  <c:v>36.095761226520544</c:v>
                </c:pt>
              </c:numCache>
            </c:numRef>
          </c:val>
          <c:smooth val="0"/>
          <c:extLst xmlns:c16r2="http://schemas.microsoft.com/office/drawing/2015/06/chart">
            <c:ext xmlns:c16="http://schemas.microsoft.com/office/drawing/2014/chart" uri="{C3380CC4-5D6E-409C-BE32-E72D297353CC}">
              <c16:uniqueId val="{00000000-2737-44DC-87CB-E1306C15387E}"/>
            </c:ext>
          </c:extLst>
        </c:ser>
        <c:ser>
          <c:idx val="1"/>
          <c:order val="1"/>
          <c:tx>
            <c:strRef>
              <c:f>Kependudukan!$E$3</c:f>
              <c:strCache>
                <c:ptCount val="1"/>
                <c:pt idx="0">
                  <c:v>RK Tua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Kependudukan!$A$4:$A$9</c:f>
              <c:numCache>
                <c:formatCode>General</c:formatCode>
                <c:ptCount val="6"/>
                <c:pt idx="0">
                  <c:v>1971</c:v>
                </c:pt>
                <c:pt idx="1">
                  <c:v>1980</c:v>
                </c:pt>
                <c:pt idx="2">
                  <c:v>1990</c:v>
                </c:pt>
                <c:pt idx="3">
                  <c:v>2000</c:v>
                </c:pt>
                <c:pt idx="4">
                  <c:v>2010</c:v>
                </c:pt>
                <c:pt idx="5">
                  <c:v>2020</c:v>
                </c:pt>
              </c:numCache>
            </c:numRef>
          </c:cat>
          <c:val>
            <c:numRef>
              <c:f>Kependudukan!$E$4:$E$9</c:f>
              <c:numCache>
                <c:formatCode>General</c:formatCode>
                <c:ptCount val="6"/>
                <c:pt idx="0">
                  <c:v>2.94</c:v>
                </c:pt>
                <c:pt idx="1">
                  <c:v>4.3099999999999996</c:v>
                </c:pt>
                <c:pt idx="2">
                  <c:v>4.21</c:v>
                </c:pt>
                <c:pt idx="3">
                  <c:v>3.61</c:v>
                </c:pt>
                <c:pt idx="4">
                  <c:v>4.3899999999999997</c:v>
                </c:pt>
                <c:pt idx="5" formatCode="0.00">
                  <c:v>6.3599476055691762</c:v>
                </c:pt>
              </c:numCache>
            </c:numRef>
          </c:val>
          <c:smooth val="0"/>
          <c:extLst xmlns:c16r2="http://schemas.microsoft.com/office/drawing/2015/06/chart">
            <c:ext xmlns:c16="http://schemas.microsoft.com/office/drawing/2014/chart" uri="{C3380CC4-5D6E-409C-BE32-E72D297353CC}">
              <c16:uniqueId val="{00000001-2737-44DC-87CB-E1306C15387E}"/>
            </c:ext>
          </c:extLst>
        </c:ser>
        <c:ser>
          <c:idx val="2"/>
          <c:order val="2"/>
          <c:tx>
            <c:strRef>
              <c:f>Kependudukan!$F$3</c:f>
              <c:strCache>
                <c:ptCount val="1"/>
                <c:pt idx="0">
                  <c:v>RK Total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Kependudukan!$A$4:$A$9</c:f>
              <c:numCache>
                <c:formatCode>General</c:formatCode>
                <c:ptCount val="6"/>
                <c:pt idx="0">
                  <c:v>1971</c:v>
                </c:pt>
                <c:pt idx="1">
                  <c:v>1980</c:v>
                </c:pt>
                <c:pt idx="2">
                  <c:v>1990</c:v>
                </c:pt>
                <c:pt idx="3">
                  <c:v>2000</c:v>
                </c:pt>
                <c:pt idx="4">
                  <c:v>2010</c:v>
                </c:pt>
                <c:pt idx="5">
                  <c:v>2020</c:v>
                </c:pt>
              </c:numCache>
            </c:numRef>
          </c:cat>
          <c:val>
            <c:numRef>
              <c:f>Kependudukan!$F$4:$F$9</c:f>
              <c:numCache>
                <c:formatCode>General</c:formatCode>
                <c:ptCount val="6"/>
                <c:pt idx="0">
                  <c:v>86.63</c:v>
                </c:pt>
                <c:pt idx="1">
                  <c:v>89.95</c:v>
                </c:pt>
                <c:pt idx="2">
                  <c:v>77.31</c:v>
                </c:pt>
                <c:pt idx="3">
                  <c:v>55.57</c:v>
                </c:pt>
                <c:pt idx="4">
                  <c:v>51.14</c:v>
                </c:pt>
                <c:pt idx="5" formatCode="0.00">
                  <c:v>42.455708832089719</c:v>
                </c:pt>
              </c:numCache>
            </c:numRef>
          </c:val>
          <c:smooth val="0"/>
          <c:extLst xmlns:c16r2="http://schemas.microsoft.com/office/drawing/2015/06/chart">
            <c:ext xmlns:c16="http://schemas.microsoft.com/office/drawing/2014/chart" uri="{C3380CC4-5D6E-409C-BE32-E72D297353CC}">
              <c16:uniqueId val="{00000002-2737-44DC-87CB-E1306C15387E}"/>
            </c:ext>
          </c:extLst>
        </c:ser>
        <c:dLbls>
          <c:showLegendKey val="0"/>
          <c:showVal val="0"/>
          <c:showCatName val="0"/>
          <c:showSerName val="0"/>
          <c:showPercent val="0"/>
          <c:showBubbleSize val="0"/>
        </c:dLbls>
        <c:marker val="1"/>
        <c:smooth val="0"/>
        <c:axId val="235492864"/>
        <c:axId val="237378304"/>
      </c:lineChart>
      <c:catAx>
        <c:axId val="23549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78304"/>
        <c:crosses val="autoZero"/>
        <c:auto val="1"/>
        <c:lblAlgn val="ctr"/>
        <c:lblOffset val="100"/>
        <c:noMultiLvlLbl val="0"/>
      </c:catAx>
      <c:valAx>
        <c:axId val="237378304"/>
        <c:scaling>
          <c:orientation val="minMax"/>
          <c:max val="100"/>
          <c:min val="0"/>
        </c:scaling>
        <c:delete val="1"/>
        <c:axPos val="l"/>
        <c:numFmt formatCode="General" sourceLinked="1"/>
        <c:majorTickMark val="none"/>
        <c:minorTickMark val="none"/>
        <c:tickLblPos val="nextTo"/>
        <c:crossAx val="2354928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Rasio Ketergantungan</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Kependudukan!$A$7:$A$9</c:f>
              <c:numCache>
                <c:formatCode>General</c:formatCode>
                <c:ptCount val="3"/>
                <c:pt idx="0">
                  <c:v>2000</c:v>
                </c:pt>
                <c:pt idx="1">
                  <c:v>2010</c:v>
                </c:pt>
                <c:pt idx="2">
                  <c:v>2020</c:v>
                </c:pt>
              </c:numCache>
            </c:numRef>
          </c:cat>
          <c:val>
            <c:numRef>
              <c:f>Kependudukan!$F$7:$F$9</c:f>
              <c:numCache>
                <c:formatCode>General</c:formatCode>
                <c:ptCount val="3"/>
                <c:pt idx="0">
                  <c:v>55.57</c:v>
                </c:pt>
                <c:pt idx="1">
                  <c:v>51.14</c:v>
                </c:pt>
                <c:pt idx="2" formatCode="0.00">
                  <c:v>42.455708832089719</c:v>
                </c:pt>
              </c:numCache>
            </c:numRef>
          </c:val>
          <c:smooth val="0"/>
          <c:extLst xmlns:c16r2="http://schemas.microsoft.com/office/drawing/2015/06/chart">
            <c:ext xmlns:c16="http://schemas.microsoft.com/office/drawing/2014/chart" uri="{C3380CC4-5D6E-409C-BE32-E72D297353CC}">
              <c16:uniqueId val="{00000000-E883-42DF-8038-013E8D4FED3E}"/>
            </c:ext>
          </c:extLst>
        </c:ser>
        <c:dLbls>
          <c:showLegendKey val="0"/>
          <c:showVal val="0"/>
          <c:showCatName val="0"/>
          <c:showSerName val="0"/>
          <c:showPercent val="0"/>
          <c:showBubbleSize val="0"/>
        </c:dLbls>
        <c:marker val="1"/>
        <c:smooth val="0"/>
        <c:axId val="235509248"/>
        <c:axId val="234078784"/>
      </c:lineChart>
      <c:catAx>
        <c:axId val="2355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78784"/>
        <c:crosses val="autoZero"/>
        <c:auto val="1"/>
        <c:lblAlgn val="ctr"/>
        <c:lblOffset val="100"/>
        <c:noMultiLvlLbl val="0"/>
      </c:catAx>
      <c:valAx>
        <c:axId val="234078784"/>
        <c:scaling>
          <c:orientation val="minMax"/>
          <c:max val="60"/>
          <c:min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509248"/>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93899174248552"/>
          <c:y val="0.12784527617787209"/>
          <c:w val="0.80871820463590971"/>
          <c:h val="0.47508153972051353"/>
        </c:manualLayout>
      </c:layout>
      <c:barChart>
        <c:barDir val="col"/>
        <c:grouping val="clustered"/>
        <c:varyColors val="0"/>
        <c:ser>
          <c:idx val="0"/>
          <c:order val="0"/>
          <c:tx>
            <c:strRef>
              <c:f>Pendidikan!$C$3</c:f>
              <c:strCache>
                <c:ptCount val="1"/>
                <c:pt idx="0">
                  <c:v>Laki-laki</c:v>
                </c:pt>
              </c:strCache>
            </c:strRef>
          </c:tx>
          <c:spPr>
            <a:solidFill>
              <a:schemeClr val="accent1"/>
            </a:solidFill>
            <a:ln>
              <a:noFill/>
            </a:ln>
            <a:effectLst/>
          </c:spPr>
          <c:invertIfNegative val="0"/>
          <c:cat>
            <c:strRef>
              <c:f>Pendidikan!$B$4:$B$18</c:f>
              <c:strCache>
                <c:ptCount val="15"/>
                <c:pt idx="0">
                  <c:v>Kotawaringin Barat</c:v>
                </c:pt>
                <c:pt idx="1">
                  <c:v>Kotawaringin Timur</c:v>
                </c:pt>
                <c:pt idx="2">
                  <c:v>Kapuas</c:v>
                </c:pt>
                <c:pt idx="3">
                  <c:v>Barito Selatan</c:v>
                </c:pt>
                <c:pt idx="4">
                  <c:v>Barito Utara</c:v>
                </c:pt>
                <c:pt idx="5">
                  <c:v>Sukamara</c:v>
                </c:pt>
                <c:pt idx="6">
                  <c:v>Lamandau</c:v>
                </c:pt>
                <c:pt idx="7">
                  <c:v>Seruyan</c:v>
                </c:pt>
                <c:pt idx="8">
                  <c:v>Katingan</c:v>
                </c:pt>
                <c:pt idx="9">
                  <c:v>Pulang Pisau</c:v>
                </c:pt>
                <c:pt idx="10">
                  <c:v>Gunung Mas</c:v>
                </c:pt>
                <c:pt idx="11">
                  <c:v>Barito Timur</c:v>
                </c:pt>
                <c:pt idx="12">
                  <c:v>Murung Raya</c:v>
                </c:pt>
                <c:pt idx="13">
                  <c:v>Palangka Raya</c:v>
                </c:pt>
                <c:pt idx="14">
                  <c:v>Kalimantan Tengah</c:v>
                </c:pt>
              </c:strCache>
            </c:strRef>
          </c:cat>
          <c:val>
            <c:numRef>
              <c:f>Pendidikan!$C$4:$C$18</c:f>
              <c:numCache>
                <c:formatCode>0.00</c:formatCode>
                <c:ptCount val="15"/>
                <c:pt idx="0">
                  <c:v>98.96</c:v>
                </c:pt>
                <c:pt idx="1">
                  <c:v>99.1</c:v>
                </c:pt>
                <c:pt idx="2">
                  <c:v>99.39</c:v>
                </c:pt>
                <c:pt idx="3">
                  <c:v>99.79</c:v>
                </c:pt>
                <c:pt idx="4">
                  <c:v>99.63</c:v>
                </c:pt>
                <c:pt idx="5">
                  <c:v>98.35</c:v>
                </c:pt>
                <c:pt idx="6">
                  <c:v>98.15</c:v>
                </c:pt>
                <c:pt idx="7">
                  <c:v>99.82</c:v>
                </c:pt>
                <c:pt idx="8">
                  <c:v>100</c:v>
                </c:pt>
                <c:pt idx="9">
                  <c:v>98.98</c:v>
                </c:pt>
                <c:pt idx="10">
                  <c:v>99.49</c:v>
                </c:pt>
                <c:pt idx="11">
                  <c:v>99.84</c:v>
                </c:pt>
                <c:pt idx="12">
                  <c:v>98.98</c:v>
                </c:pt>
                <c:pt idx="13">
                  <c:v>99.62</c:v>
                </c:pt>
                <c:pt idx="14">
                  <c:v>99.34</c:v>
                </c:pt>
              </c:numCache>
            </c:numRef>
          </c:val>
          <c:extLst xmlns:c16r2="http://schemas.microsoft.com/office/drawing/2015/06/chart">
            <c:ext xmlns:c16="http://schemas.microsoft.com/office/drawing/2014/chart" uri="{C3380CC4-5D6E-409C-BE32-E72D297353CC}">
              <c16:uniqueId val="{00000000-AED9-43F8-9849-24C79EF3678A}"/>
            </c:ext>
          </c:extLst>
        </c:ser>
        <c:ser>
          <c:idx val="1"/>
          <c:order val="1"/>
          <c:tx>
            <c:strRef>
              <c:f>Pendidikan!$D$3</c:f>
              <c:strCache>
                <c:ptCount val="1"/>
                <c:pt idx="0">
                  <c:v>Perempuan</c:v>
                </c:pt>
              </c:strCache>
            </c:strRef>
          </c:tx>
          <c:spPr>
            <a:solidFill>
              <a:schemeClr val="accent2"/>
            </a:solidFill>
            <a:ln>
              <a:noFill/>
            </a:ln>
            <a:effectLst/>
          </c:spPr>
          <c:invertIfNegative val="0"/>
          <c:cat>
            <c:strRef>
              <c:f>Pendidikan!$B$4:$B$18</c:f>
              <c:strCache>
                <c:ptCount val="15"/>
                <c:pt idx="0">
                  <c:v>Kotawaringin Barat</c:v>
                </c:pt>
                <c:pt idx="1">
                  <c:v>Kotawaringin Timur</c:v>
                </c:pt>
                <c:pt idx="2">
                  <c:v>Kapuas</c:v>
                </c:pt>
                <c:pt idx="3">
                  <c:v>Barito Selatan</c:v>
                </c:pt>
                <c:pt idx="4">
                  <c:v>Barito Utara</c:v>
                </c:pt>
                <c:pt idx="5">
                  <c:v>Sukamara</c:v>
                </c:pt>
                <c:pt idx="6">
                  <c:v>Lamandau</c:v>
                </c:pt>
                <c:pt idx="7">
                  <c:v>Seruyan</c:v>
                </c:pt>
                <c:pt idx="8">
                  <c:v>Katingan</c:v>
                </c:pt>
                <c:pt idx="9">
                  <c:v>Pulang Pisau</c:v>
                </c:pt>
                <c:pt idx="10">
                  <c:v>Gunung Mas</c:v>
                </c:pt>
                <c:pt idx="11">
                  <c:v>Barito Timur</c:v>
                </c:pt>
                <c:pt idx="12">
                  <c:v>Murung Raya</c:v>
                </c:pt>
                <c:pt idx="13">
                  <c:v>Palangka Raya</c:v>
                </c:pt>
                <c:pt idx="14">
                  <c:v>Kalimantan Tengah</c:v>
                </c:pt>
              </c:strCache>
            </c:strRef>
          </c:cat>
          <c:val>
            <c:numRef>
              <c:f>Pendidikan!$D$4:$D$18</c:f>
              <c:numCache>
                <c:formatCode>0.00</c:formatCode>
                <c:ptCount val="15"/>
                <c:pt idx="0">
                  <c:v>99</c:v>
                </c:pt>
                <c:pt idx="1">
                  <c:v>99.25</c:v>
                </c:pt>
                <c:pt idx="2">
                  <c:v>98</c:v>
                </c:pt>
                <c:pt idx="3">
                  <c:v>98.59</c:v>
                </c:pt>
                <c:pt idx="4">
                  <c:v>99.23</c:v>
                </c:pt>
                <c:pt idx="5">
                  <c:v>97.27</c:v>
                </c:pt>
                <c:pt idx="6">
                  <c:v>97.21</c:v>
                </c:pt>
                <c:pt idx="7">
                  <c:v>98.64</c:v>
                </c:pt>
                <c:pt idx="8">
                  <c:v>99.54</c:v>
                </c:pt>
                <c:pt idx="9">
                  <c:v>97.74</c:v>
                </c:pt>
                <c:pt idx="10">
                  <c:v>99.3</c:v>
                </c:pt>
                <c:pt idx="11">
                  <c:v>98.97</c:v>
                </c:pt>
                <c:pt idx="12">
                  <c:v>98.89</c:v>
                </c:pt>
                <c:pt idx="13">
                  <c:v>99.65</c:v>
                </c:pt>
                <c:pt idx="14">
                  <c:v>98.83</c:v>
                </c:pt>
              </c:numCache>
            </c:numRef>
          </c:val>
          <c:extLst xmlns:c16r2="http://schemas.microsoft.com/office/drawing/2015/06/chart">
            <c:ext xmlns:c16="http://schemas.microsoft.com/office/drawing/2014/chart" uri="{C3380CC4-5D6E-409C-BE32-E72D297353CC}">
              <c16:uniqueId val="{00000001-AED9-43F8-9849-24C79EF3678A}"/>
            </c:ext>
          </c:extLst>
        </c:ser>
        <c:ser>
          <c:idx val="2"/>
          <c:order val="2"/>
          <c:tx>
            <c:strRef>
              <c:f>Pendidikan!$E$3</c:f>
              <c:strCache>
                <c:ptCount val="1"/>
                <c:pt idx="0">
                  <c:v>Laki-laki + Perempuan</c:v>
                </c:pt>
              </c:strCache>
            </c:strRef>
          </c:tx>
          <c:spPr>
            <a:solidFill>
              <a:schemeClr val="accent3"/>
            </a:solidFill>
            <a:ln>
              <a:noFill/>
            </a:ln>
            <a:effectLst/>
          </c:spPr>
          <c:invertIfNegative val="0"/>
          <c:cat>
            <c:strRef>
              <c:f>Pendidikan!$B$4:$B$18</c:f>
              <c:strCache>
                <c:ptCount val="15"/>
                <c:pt idx="0">
                  <c:v>Kotawaringin Barat</c:v>
                </c:pt>
                <c:pt idx="1">
                  <c:v>Kotawaringin Timur</c:v>
                </c:pt>
                <c:pt idx="2">
                  <c:v>Kapuas</c:v>
                </c:pt>
                <c:pt idx="3">
                  <c:v>Barito Selatan</c:v>
                </c:pt>
                <c:pt idx="4">
                  <c:v>Barito Utara</c:v>
                </c:pt>
                <c:pt idx="5">
                  <c:v>Sukamara</c:v>
                </c:pt>
                <c:pt idx="6">
                  <c:v>Lamandau</c:v>
                </c:pt>
                <c:pt idx="7">
                  <c:v>Seruyan</c:v>
                </c:pt>
                <c:pt idx="8">
                  <c:v>Katingan</c:v>
                </c:pt>
                <c:pt idx="9">
                  <c:v>Pulang Pisau</c:v>
                </c:pt>
                <c:pt idx="10">
                  <c:v>Gunung Mas</c:v>
                </c:pt>
                <c:pt idx="11">
                  <c:v>Barito Timur</c:v>
                </c:pt>
                <c:pt idx="12">
                  <c:v>Murung Raya</c:v>
                </c:pt>
                <c:pt idx="13">
                  <c:v>Palangka Raya</c:v>
                </c:pt>
                <c:pt idx="14">
                  <c:v>Kalimantan Tengah</c:v>
                </c:pt>
              </c:strCache>
            </c:strRef>
          </c:cat>
          <c:val>
            <c:numRef>
              <c:f>Pendidikan!$E$4:$E$18</c:f>
              <c:numCache>
                <c:formatCode>0.00</c:formatCode>
                <c:ptCount val="15"/>
                <c:pt idx="0">
                  <c:v>98.98</c:v>
                </c:pt>
                <c:pt idx="1">
                  <c:v>99.17</c:v>
                </c:pt>
                <c:pt idx="2">
                  <c:v>98.7</c:v>
                </c:pt>
                <c:pt idx="3">
                  <c:v>99.2</c:v>
                </c:pt>
                <c:pt idx="4">
                  <c:v>99.44</c:v>
                </c:pt>
                <c:pt idx="5">
                  <c:v>97.84</c:v>
                </c:pt>
                <c:pt idx="6">
                  <c:v>97.71</c:v>
                </c:pt>
                <c:pt idx="7">
                  <c:v>99.28</c:v>
                </c:pt>
                <c:pt idx="8">
                  <c:v>99.78</c:v>
                </c:pt>
                <c:pt idx="9">
                  <c:v>98.39</c:v>
                </c:pt>
                <c:pt idx="10">
                  <c:v>99.4</c:v>
                </c:pt>
                <c:pt idx="11">
                  <c:v>99.41</c:v>
                </c:pt>
                <c:pt idx="12">
                  <c:v>98.93</c:v>
                </c:pt>
                <c:pt idx="13">
                  <c:v>99.63</c:v>
                </c:pt>
                <c:pt idx="14">
                  <c:v>99.1</c:v>
                </c:pt>
              </c:numCache>
            </c:numRef>
          </c:val>
          <c:extLst xmlns:c16r2="http://schemas.microsoft.com/office/drawing/2015/06/chart">
            <c:ext xmlns:c16="http://schemas.microsoft.com/office/drawing/2014/chart" uri="{C3380CC4-5D6E-409C-BE32-E72D297353CC}">
              <c16:uniqueId val="{00000002-AED9-43F8-9849-24C79EF3678A}"/>
            </c:ext>
          </c:extLst>
        </c:ser>
        <c:dLbls>
          <c:showLegendKey val="0"/>
          <c:showVal val="0"/>
          <c:showCatName val="0"/>
          <c:showSerName val="0"/>
          <c:showPercent val="0"/>
          <c:showBubbleSize val="0"/>
        </c:dLbls>
        <c:gapWidth val="219"/>
        <c:overlap val="-27"/>
        <c:axId val="235493888"/>
        <c:axId val="234080512"/>
      </c:barChart>
      <c:catAx>
        <c:axId val="23549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80512"/>
        <c:crosses val="autoZero"/>
        <c:auto val="1"/>
        <c:lblAlgn val="ctr"/>
        <c:lblOffset val="100"/>
        <c:noMultiLvlLbl val="0"/>
      </c:catAx>
      <c:valAx>
        <c:axId val="2340805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93888"/>
        <c:crosses val="autoZero"/>
        <c:crossBetween val="between"/>
        <c:majorUnit val="1"/>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Sheet2!$B$2</c:f>
              <c:strCache>
                <c:ptCount val="1"/>
                <c:pt idx="0">
                  <c:v>Tenaga Medis</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Sheet2!$A$3:$A$17</c:f>
              <c:strCache>
                <c:ptCount val="15"/>
                <c:pt idx="0">
                  <c:v>Kobar</c:v>
                </c:pt>
                <c:pt idx="1">
                  <c:v>Kotim</c:v>
                </c:pt>
                <c:pt idx="2">
                  <c:v>Kapuas</c:v>
                </c:pt>
                <c:pt idx="3">
                  <c:v>Barsel</c:v>
                </c:pt>
                <c:pt idx="4">
                  <c:v>Barut</c:v>
                </c:pt>
                <c:pt idx="5">
                  <c:v>Sukamara</c:v>
                </c:pt>
                <c:pt idx="6">
                  <c:v>Lamandau</c:v>
                </c:pt>
                <c:pt idx="7">
                  <c:v>Seruyan</c:v>
                </c:pt>
                <c:pt idx="8">
                  <c:v>Katingan</c:v>
                </c:pt>
                <c:pt idx="9">
                  <c:v>Pulpis</c:v>
                </c:pt>
                <c:pt idx="10">
                  <c:v>Gumas</c:v>
                </c:pt>
                <c:pt idx="11">
                  <c:v>Bartim</c:v>
                </c:pt>
                <c:pt idx="12">
                  <c:v>Mura</c:v>
                </c:pt>
                <c:pt idx="13">
                  <c:v>P.Raya</c:v>
                </c:pt>
                <c:pt idx="14">
                  <c:v>Kalteng</c:v>
                </c:pt>
              </c:strCache>
            </c:strRef>
          </c:cat>
          <c:val>
            <c:numRef>
              <c:f>Sheet2!$B$3:$B$17</c:f>
              <c:numCache>
                <c:formatCode>General</c:formatCode>
                <c:ptCount val="15"/>
                <c:pt idx="0">
                  <c:v>96.39</c:v>
                </c:pt>
                <c:pt idx="1">
                  <c:v>88.28</c:v>
                </c:pt>
                <c:pt idx="2">
                  <c:v>80.099999999999994</c:v>
                </c:pt>
                <c:pt idx="3">
                  <c:v>89.9</c:v>
                </c:pt>
                <c:pt idx="4">
                  <c:v>86.92</c:v>
                </c:pt>
                <c:pt idx="5">
                  <c:v>94.39</c:v>
                </c:pt>
                <c:pt idx="6">
                  <c:v>96.39</c:v>
                </c:pt>
                <c:pt idx="7">
                  <c:v>83.87</c:v>
                </c:pt>
                <c:pt idx="8">
                  <c:v>97.320000000000007</c:v>
                </c:pt>
                <c:pt idx="9">
                  <c:v>84.5</c:v>
                </c:pt>
                <c:pt idx="10">
                  <c:v>70.2</c:v>
                </c:pt>
                <c:pt idx="11">
                  <c:v>94.36</c:v>
                </c:pt>
                <c:pt idx="12">
                  <c:v>85.1</c:v>
                </c:pt>
                <c:pt idx="13">
                  <c:v>92.47999999999999</c:v>
                </c:pt>
                <c:pt idx="14">
                  <c:v>88.45</c:v>
                </c:pt>
              </c:numCache>
            </c:numRef>
          </c:val>
          <c:extLst xmlns:c16r2="http://schemas.microsoft.com/office/drawing/2015/06/chart">
            <c:ext xmlns:c16="http://schemas.microsoft.com/office/drawing/2014/chart" uri="{C3380CC4-5D6E-409C-BE32-E72D297353CC}">
              <c16:uniqueId val="{00000000-5887-4250-A551-0A204EC8CE68}"/>
            </c:ext>
          </c:extLst>
        </c:ser>
        <c:ser>
          <c:idx val="1"/>
          <c:order val="1"/>
          <c:tx>
            <c:strRef>
              <c:f>Sheet2!$C$2</c:f>
              <c:strCache>
                <c:ptCount val="1"/>
                <c:pt idx="0">
                  <c:v>Non Tenaga Medis</c:v>
                </c:pt>
              </c:strCache>
            </c:strRef>
          </c:tx>
          <c:spPr>
            <a:solidFill>
              <a:schemeClr val="accent3">
                <a:alpha val="70000"/>
              </a:schemeClr>
            </a:solidFill>
            <a:ln>
              <a:noFill/>
            </a:ln>
            <a:effectLst/>
          </c:spPr>
          <c:invertIfNegative val="0"/>
          <c:dLbls>
            <c:dLbl>
              <c:idx val="8"/>
              <c:layout>
                <c:manualLayout>
                  <c:x val="3.0511060259345133E-3"/>
                  <c:y val="-1.55642023346303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87-4250-A551-0A204EC8CE68}"/>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Sheet2!$A$3:$A$17</c:f>
              <c:strCache>
                <c:ptCount val="15"/>
                <c:pt idx="0">
                  <c:v>Kobar</c:v>
                </c:pt>
                <c:pt idx="1">
                  <c:v>Kotim</c:v>
                </c:pt>
                <c:pt idx="2">
                  <c:v>Kapuas</c:v>
                </c:pt>
                <c:pt idx="3">
                  <c:v>Barsel</c:v>
                </c:pt>
                <c:pt idx="4">
                  <c:v>Barut</c:v>
                </c:pt>
                <c:pt idx="5">
                  <c:v>Sukamara</c:v>
                </c:pt>
                <c:pt idx="6">
                  <c:v>Lamandau</c:v>
                </c:pt>
                <c:pt idx="7">
                  <c:v>Seruyan</c:v>
                </c:pt>
                <c:pt idx="8">
                  <c:v>Katingan</c:v>
                </c:pt>
                <c:pt idx="9">
                  <c:v>Pulpis</c:v>
                </c:pt>
                <c:pt idx="10">
                  <c:v>Gumas</c:v>
                </c:pt>
                <c:pt idx="11">
                  <c:v>Bartim</c:v>
                </c:pt>
                <c:pt idx="12">
                  <c:v>Mura</c:v>
                </c:pt>
                <c:pt idx="13">
                  <c:v>P.Raya</c:v>
                </c:pt>
                <c:pt idx="14">
                  <c:v>Kalteng</c:v>
                </c:pt>
              </c:strCache>
            </c:strRef>
          </c:cat>
          <c:val>
            <c:numRef>
              <c:f>Sheet2!$C$3:$C$17</c:f>
              <c:numCache>
                <c:formatCode>General</c:formatCode>
                <c:ptCount val="15"/>
                <c:pt idx="0">
                  <c:v>3.61</c:v>
                </c:pt>
                <c:pt idx="1">
                  <c:v>11.72</c:v>
                </c:pt>
                <c:pt idx="2">
                  <c:v>19.899999999999999</c:v>
                </c:pt>
                <c:pt idx="3">
                  <c:v>10.1</c:v>
                </c:pt>
                <c:pt idx="4">
                  <c:v>13.08</c:v>
                </c:pt>
                <c:pt idx="5">
                  <c:v>5.62</c:v>
                </c:pt>
                <c:pt idx="6">
                  <c:v>3.6</c:v>
                </c:pt>
                <c:pt idx="7">
                  <c:v>16.13</c:v>
                </c:pt>
                <c:pt idx="8">
                  <c:v>2.67</c:v>
                </c:pt>
                <c:pt idx="9">
                  <c:v>15.5</c:v>
                </c:pt>
                <c:pt idx="10">
                  <c:v>29.8</c:v>
                </c:pt>
                <c:pt idx="11">
                  <c:v>5.64</c:v>
                </c:pt>
                <c:pt idx="12">
                  <c:v>14.91</c:v>
                </c:pt>
                <c:pt idx="13">
                  <c:v>7.52</c:v>
                </c:pt>
                <c:pt idx="14">
                  <c:v>11.55</c:v>
                </c:pt>
              </c:numCache>
            </c:numRef>
          </c:val>
          <c:extLst xmlns:c16r2="http://schemas.microsoft.com/office/drawing/2015/06/chart">
            <c:ext xmlns:c16="http://schemas.microsoft.com/office/drawing/2014/chart" uri="{C3380CC4-5D6E-409C-BE32-E72D297353CC}">
              <c16:uniqueId val="{00000002-5887-4250-A551-0A204EC8CE68}"/>
            </c:ext>
          </c:extLst>
        </c:ser>
        <c:dLbls>
          <c:showLegendKey val="0"/>
          <c:showVal val="0"/>
          <c:showCatName val="0"/>
          <c:showSerName val="0"/>
          <c:showPercent val="0"/>
          <c:showBubbleSize val="0"/>
        </c:dLbls>
        <c:gapWidth val="50"/>
        <c:overlap val="100"/>
        <c:axId val="235511296"/>
        <c:axId val="234082240"/>
      </c:barChart>
      <c:catAx>
        <c:axId val="23551129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34082240"/>
        <c:crosses val="autoZero"/>
        <c:auto val="1"/>
        <c:lblAlgn val="ctr"/>
        <c:lblOffset val="100"/>
        <c:noMultiLvlLbl val="0"/>
      </c:catAx>
      <c:valAx>
        <c:axId val="234082240"/>
        <c:scaling>
          <c:orientation val="minMax"/>
        </c:scaling>
        <c:delete val="1"/>
        <c:axPos val="l"/>
        <c:numFmt formatCode="0%" sourceLinked="1"/>
        <c:majorTickMark val="none"/>
        <c:minorTickMark val="none"/>
        <c:tickLblPos val="nextTo"/>
        <c:crossAx val="23551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Sheet3!$B$2</c:f>
              <c:strCache>
                <c:ptCount val="1"/>
                <c:pt idx="0">
                  <c:v>Pernah</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Sheet3!$A$3:$A$17</c:f>
              <c:strCache>
                <c:ptCount val="15"/>
                <c:pt idx="0">
                  <c:v>Kobar</c:v>
                </c:pt>
                <c:pt idx="1">
                  <c:v>Kotim</c:v>
                </c:pt>
                <c:pt idx="2">
                  <c:v>Kapuas</c:v>
                </c:pt>
                <c:pt idx="3">
                  <c:v>Barsel</c:v>
                </c:pt>
                <c:pt idx="4">
                  <c:v>Barut</c:v>
                </c:pt>
                <c:pt idx="5">
                  <c:v>Sukamara</c:v>
                </c:pt>
                <c:pt idx="6">
                  <c:v>Lamandau</c:v>
                </c:pt>
                <c:pt idx="7">
                  <c:v>Seruyan</c:v>
                </c:pt>
                <c:pt idx="8">
                  <c:v>Katingan</c:v>
                </c:pt>
                <c:pt idx="9">
                  <c:v>Pulpis</c:v>
                </c:pt>
                <c:pt idx="10">
                  <c:v>Gumas</c:v>
                </c:pt>
                <c:pt idx="11">
                  <c:v>Bartim</c:v>
                </c:pt>
                <c:pt idx="12">
                  <c:v>Mura</c:v>
                </c:pt>
                <c:pt idx="13">
                  <c:v>P.Raya</c:v>
                </c:pt>
                <c:pt idx="14">
                  <c:v>Kalteng</c:v>
                </c:pt>
              </c:strCache>
            </c:strRef>
          </c:cat>
          <c:val>
            <c:numRef>
              <c:f>Sheet3!$B$3:$B$17</c:f>
              <c:numCache>
                <c:formatCode>General</c:formatCode>
                <c:ptCount val="15"/>
                <c:pt idx="0">
                  <c:v>19.71</c:v>
                </c:pt>
                <c:pt idx="1">
                  <c:v>10.52</c:v>
                </c:pt>
                <c:pt idx="2">
                  <c:v>14.98</c:v>
                </c:pt>
                <c:pt idx="3">
                  <c:v>13.67</c:v>
                </c:pt>
                <c:pt idx="4">
                  <c:v>13.31</c:v>
                </c:pt>
                <c:pt idx="5">
                  <c:v>12.5</c:v>
                </c:pt>
                <c:pt idx="6">
                  <c:v>7.93</c:v>
                </c:pt>
                <c:pt idx="7">
                  <c:v>13.59</c:v>
                </c:pt>
                <c:pt idx="8">
                  <c:v>12.33</c:v>
                </c:pt>
                <c:pt idx="9">
                  <c:v>12.64</c:v>
                </c:pt>
                <c:pt idx="10">
                  <c:v>11.23</c:v>
                </c:pt>
                <c:pt idx="11">
                  <c:v>9.32</c:v>
                </c:pt>
                <c:pt idx="12">
                  <c:v>9.41</c:v>
                </c:pt>
                <c:pt idx="13">
                  <c:v>16.559999999999999</c:v>
                </c:pt>
                <c:pt idx="14">
                  <c:v>13.46</c:v>
                </c:pt>
              </c:numCache>
            </c:numRef>
          </c:val>
          <c:extLst xmlns:c16r2="http://schemas.microsoft.com/office/drawing/2015/06/chart">
            <c:ext xmlns:c16="http://schemas.microsoft.com/office/drawing/2014/chart" uri="{C3380CC4-5D6E-409C-BE32-E72D297353CC}">
              <c16:uniqueId val="{00000000-0586-4720-BE52-B5F0A741CC2F}"/>
            </c:ext>
          </c:extLst>
        </c:ser>
        <c:ser>
          <c:idx val="1"/>
          <c:order val="1"/>
          <c:tx>
            <c:strRef>
              <c:f>Sheet3!$C$2</c:f>
              <c:strCache>
                <c:ptCount val="1"/>
                <c:pt idx="0">
                  <c:v>Sedang</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Sheet3!$A$3:$A$17</c:f>
              <c:strCache>
                <c:ptCount val="15"/>
                <c:pt idx="0">
                  <c:v>Kobar</c:v>
                </c:pt>
                <c:pt idx="1">
                  <c:v>Kotim</c:v>
                </c:pt>
                <c:pt idx="2">
                  <c:v>Kapuas</c:v>
                </c:pt>
                <c:pt idx="3">
                  <c:v>Barsel</c:v>
                </c:pt>
                <c:pt idx="4">
                  <c:v>Barut</c:v>
                </c:pt>
                <c:pt idx="5">
                  <c:v>Sukamara</c:v>
                </c:pt>
                <c:pt idx="6">
                  <c:v>Lamandau</c:v>
                </c:pt>
                <c:pt idx="7">
                  <c:v>Seruyan</c:v>
                </c:pt>
                <c:pt idx="8">
                  <c:v>Katingan</c:v>
                </c:pt>
                <c:pt idx="9">
                  <c:v>Pulpis</c:v>
                </c:pt>
                <c:pt idx="10">
                  <c:v>Gumas</c:v>
                </c:pt>
                <c:pt idx="11">
                  <c:v>Bartim</c:v>
                </c:pt>
                <c:pt idx="12">
                  <c:v>Mura</c:v>
                </c:pt>
                <c:pt idx="13">
                  <c:v>P.Raya</c:v>
                </c:pt>
                <c:pt idx="14">
                  <c:v>Kalteng</c:v>
                </c:pt>
              </c:strCache>
            </c:strRef>
          </c:cat>
          <c:val>
            <c:numRef>
              <c:f>Sheet3!$C$3:$C$17</c:f>
              <c:numCache>
                <c:formatCode>General</c:formatCode>
                <c:ptCount val="15"/>
                <c:pt idx="0">
                  <c:v>53.34</c:v>
                </c:pt>
                <c:pt idx="1">
                  <c:v>61.57</c:v>
                </c:pt>
                <c:pt idx="2">
                  <c:v>63.15</c:v>
                </c:pt>
                <c:pt idx="3">
                  <c:v>63.41</c:v>
                </c:pt>
                <c:pt idx="4">
                  <c:v>64.790000000000006</c:v>
                </c:pt>
                <c:pt idx="5">
                  <c:v>59.98</c:v>
                </c:pt>
                <c:pt idx="6">
                  <c:v>61.66</c:v>
                </c:pt>
                <c:pt idx="7">
                  <c:v>62.61</c:v>
                </c:pt>
                <c:pt idx="8">
                  <c:v>65.89</c:v>
                </c:pt>
                <c:pt idx="9">
                  <c:v>62.91</c:v>
                </c:pt>
                <c:pt idx="10">
                  <c:v>65.569999999999993</c:v>
                </c:pt>
                <c:pt idx="11">
                  <c:v>60.87</c:v>
                </c:pt>
                <c:pt idx="12">
                  <c:v>67.48</c:v>
                </c:pt>
                <c:pt idx="13">
                  <c:v>48.36</c:v>
                </c:pt>
                <c:pt idx="14">
                  <c:v>60.5</c:v>
                </c:pt>
              </c:numCache>
            </c:numRef>
          </c:val>
          <c:extLst xmlns:c16r2="http://schemas.microsoft.com/office/drawing/2015/06/chart">
            <c:ext xmlns:c16="http://schemas.microsoft.com/office/drawing/2014/chart" uri="{C3380CC4-5D6E-409C-BE32-E72D297353CC}">
              <c16:uniqueId val="{00000001-0586-4720-BE52-B5F0A741CC2F}"/>
            </c:ext>
          </c:extLst>
        </c:ser>
        <c:ser>
          <c:idx val="2"/>
          <c:order val="2"/>
          <c:tx>
            <c:strRef>
              <c:f>Sheet3!$D$2</c:f>
              <c:strCache>
                <c:ptCount val="1"/>
                <c:pt idx="0">
                  <c:v>Tidak Menggunakan</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Sheet3!$A$3:$A$17</c:f>
              <c:strCache>
                <c:ptCount val="15"/>
                <c:pt idx="0">
                  <c:v>Kobar</c:v>
                </c:pt>
                <c:pt idx="1">
                  <c:v>Kotim</c:v>
                </c:pt>
                <c:pt idx="2">
                  <c:v>Kapuas</c:v>
                </c:pt>
                <c:pt idx="3">
                  <c:v>Barsel</c:v>
                </c:pt>
                <c:pt idx="4">
                  <c:v>Barut</c:v>
                </c:pt>
                <c:pt idx="5">
                  <c:v>Sukamara</c:v>
                </c:pt>
                <c:pt idx="6">
                  <c:v>Lamandau</c:v>
                </c:pt>
                <c:pt idx="7">
                  <c:v>Seruyan</c:v>
                </c:pt>
                <c:pt idx="8">
                  <c:v>Katingan</c:v>
                </c:pt>
                <c:pt idx="9">
                  <c:v>Pulpis</c:v>
                </c:pt>
                <c:pt idx="10">
                  <c:v>Gumas</c:v>
                </c:pt>
                <c:pt idx="11">
                  <c:v>Bartim</c:v>
                </c:pt>
                <c:pt idx="12">
                  <c:v>Mura</c:v>
                </c:pt>
                <c:pt idx="13">
                  <c:v>P.Raya</c:v>
                </c:pt>
                <c:pt idx="14">
                  <c:v>Kalteng</c:v>
                </c:pt>
              </c:strCache>
            </c:strRef>
          </c:cat>
          <c:val>
            <c:numRef>
              <c:f>Sheet3!$D$3:$D$17</c:f>
              <c:numCache>
                <c:formatCode>General</c:formatCode>
                <c:ptCount val="15"/>
                <c:pt idx="0">
                  <c:v>26.94</c:v>
                </c:pt>
                <c:pt idx="1">
                  <c:v>27.91</c:v>
                </c:pt>
                <c:pt idx="2">
                  <c:v>21.86</c:v>
                </c:pt>
                <c:pt idx="3">
                  <c:v>22.93</c:v>
                </c:pt>
                <c:pt idx="4">
                  <c:v>21.9</c:v>
                </c:pt>
                <c:pt idx="5">
                  <c:v>27.53</c:v>
                </c:pt>
                <c:pt idx="6">
                  <c:v>30.4</c:v>
                </c:pt>
                <c:pt idx="7">
                  <c:v>23.8</c:v>
                </c:pt>
                <c:pt idx="8">
                  <c:v>21.78</c:v>
                </c:pt>
                <c:pt idx="9">
                  <c:v>24.45</c:v>
                </c:pt>
                <c:pt idx="10">
                  <c:v>23.2</c:v>
                </c:pt>
                <c:pt idx="11">
                  <c:v>29.8</c:v>
                </c:pt>
                <c:pt idx="12">
                  <c:v>23.11</c:v>
                </c:pt>
                <c:pt idx="13">
                  <c:v>35.08</c:v>
                </c:pt>
                <c:pt idx="14">
                  <c:v>26.04</c:v>
                </c:pt>
              </c:numCache>
            </c:numRef>
          </c:val>
          <c:extLst xmlns:c16r2="http://schemas.microsoft.com/office/drawing/2015/06/chart">
            <c:ext xmlns:c16="http://schemas.microsoft.com/office/drawing/2014/chart" uri="{C3380CC4-5D6E-409C-BE32-E72D297353CC}">
              <c16:uniqueId val="{00000002-0586-4720-BE52-B5F0A741CC2F}"/>
            </c:ext>
          </c:extLst>
        </c:ser>
        <c:dLbls>
          <c:dLblPos val="ctr"/>
          <c:showLegendKey val="0"/>
          <c:showVal val="1"/>
          <c:showCatName val="0"/>
          <c:showSerName val="0"/>
          <c:showPercent val="0"/>
          <c:showBubbleSize val="0"/>
        </c:dLbls>
        <c:gapWidth val="50"/>
        <c:overlap val="100"/>
        <c:axId val="236630016"/>
        <c:axId val="234083968"/>
      </c:barChart>
      <c:catAx>
        <c:axId val="23663001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34083968"/>
        <c:crosses val="autoZero"/>
        <c:auto val="1"/>
        <c:lblAlgn val="ctr"/>
        <c:lblOffset val="100"/>
        <c:noMultiLvlLbl val="0"/>
      </c:catAx>
      <c:valAx>
        <c:axId val="234083968"/>
        <c:scaling>
          <c:orientation val="minMax"/>
        </c:scaling>
        <c:delete val="1"/>
        <c:axPos val="l"/>
        <c:numFmt formatCode="0%" sourceLinked="1"/>
        <c:majorTickMark val="none"/>
        <c:minorTickMark val="none"/>
        <c:tickLblPos val="nextTo"/>
        <c:crossAx val="23663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04253847484005E-2"/>
          <c:y val="0.26561965390887621"/>
          <c:w val="0.92391492305031986"/>
          <c:h val="0.56760657910144252"/>
        </c:manualLayout>
      </c:layout>
      <c:barChart>
        <c:barDir val="col"/>
        <c:grouping val="clustered"/>
        <c:varyColors val="0"/>
        <c:ser>
          <c:idx val="0"/>
          <c:order val="0"/>
          <c:tx>
            <c:strRef>
              <c:f>Sheet4!$B$2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Sheet4!$A$3:$A$6</c:f>
              <c:strCache>
                <c:ptCount val="4"/>
                <c:pt idx="0">
                  <c:v>&lt;=16</c:v>
                </c:pt>
                <c:pt idx="1">
                  <c:v>17-18</c:v>
                </c:pt>
                <c:pt idx="2">
                  <c:v>19-20</c:v>
                </c:pt>
                <c:pt idx="3">
                  <c:v>21+</c:v>
                </c:pt>
              </c:strCache>
            </c:strRef>
          </c:cat>
          <c:val>
            <c:numRef>
              <c:f>Sheet4!$B$3:$B$6</c:f>
              <c:numCache>
                <c:formatCode>General</c:formatCode>
                <c:ptCount val="4"/>
                <c:pt idx="0">
                  <c:v>18.420000000000002</c:v>
                </c:pt>
                <c:pt idx="1">
                  <c:v>22.55</c:v>
                </c:pt>
                <c:pt idx="2">
                  <c:v>23.34</c:v>
                </c:pt>
                <c:pt idx="3">
                  <c:v>35.69</c:v>
                </c:pt>
              </c:numCache>
            </c:numRef>
          </c:val>
          <c:extLst xmlns:c16r2="http://schemas.microsoft.com/office/drawing/2015/06/chart">
            <c:ext xmlns:c16="http://schemas.microsoft.com/office/drawing/2014/chart" uri="{C3380CC4-5D6E-409C-BE32-E72D297353CC}">
              <c16:uniqueId val="{00000000-BEEA-4F38-9D6C-EEDC61682B59}"/>
            </c:ext>
          </c:extLst>
        </c:ser>
        <c:ser>
          <c:idx val="1"/>
          <c:order val="1"/>
          <c:tx>
            <c:strRef>
              <c:f>Sheet4!$C$2</c:f>
              <c:strCache>
                <c:ptCount val="1"/>
                <c:pt idx="0">
                  <c:v>2020</c:v>
                </c:pt>
              </c:strCache>
            </c:strRef>
          </c:tx>
          <c:spPr>
            <a:solidFill>
              <a:schemeClr val="accent3"/>
            </a:solidFill>
            <a:ln>
              <a:noFill/>
            </a:ln>
            <a:effectLst/>
          </c:spPr>
          <c:invertIfNegative val="0"/>
          <c:dLbls>
            <c:dLbl>
              <c:idx val="0"/>
              <c:layout>
                <c:manualLayout>
                  <c:x val="0"/>
                  <c:y val="-4.682622268470353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EA-4F38-9D6C-EEDC61682B59}"/>
                </c:ext>
              </c:extLst>
            </c:dLbl>
            <c:dLbl>
              <c:idx val="1"/>
              <c:layout>
                <c:manualLayout>
                  <c:x val="-3.1220730565095223E-3"/>
                  <c:y val="-5.7232049947970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EA-4F38-9D6C-EEDC61682B59}"/>
                </c:ext>
              </c:extLst>
            </c:dLbl>
            <c:dLbl>
              <c:idx val="2"/>
              <c:layout>
                <c:manualLayout>
                  <c:x val="-3.1220730565096368E-3"/>
                  <c:y val="-5.20291363163371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EA-4F38-9D6C-EEDC61682B59}"/>
                </c:ext>
              </c:extLst>
            </c:dLbl>
            <c:dLbl>
              <c:idx val="3"/>
              <c:layout>
                <c:manualLayout>
                  <c:x val="0"/>
                  <c:y val="-9.365244536940686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EA-4F38-9D6C-EEDC61682B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Sheet4!$A$3:$A$6</c:f>
              <c:strCache>
                <c:ptCount val="4"/>
                <c:pt idx="0">
                  <c:v>&lt;=16</c:v>
                </c:pt>
                <c:pt idx="1">
                  <c:v>17-18</c:v>
                </c:pt>
                <c:pt idx="2">
                  <c:v>19-20</c:v>
                </c:pt>
                <c:pt idx="3">
                  <c:v>21+</c:v>
                </c:pt>
              </c:strCache>
            </c:strRef>
          </c:cat>
          <c:val>
            <c:numRef>
              <c:f>Sheet4!$C$3:$C$6</c:f>
              <c:numCache>
                <c:formatCode>General</c:formatCode>
                <c:ptCount val="4"/>
                <c:pt idx="0">
                  <c:v>18.97</c:v>
                </c:pt>
                <c:pt idx="1">
                  <c:v>22.91</c:v>
                </c:pt>
                <c:pt idx="2">
                  <c:v>24.2</c:v>
                </c:pt>
                <c:pt idx="3">
                  <c:v>33.92</c:v>
                </c:pt>
              </c:numCache>
            </c:numRef>
          </c:val>
          <c:extLst xmlns:c16r2="http://schemas.microsoft.com/office/drawing/2015/06/chart">
            <c:ext xmlns:c16="http://schemas.microsoft.com/office/drawing/2014/chart" uri="{C3380CC4-5D6E-409C-BE32-E72D297353CC}">
              <c16:uniqueId val="{00000005-BEEA-4F38-9D6C-EEDC61682B59}"/>
            </c:ext>
          </c:extLst>
        </c:ser>
        <c:ser>
          <c:idx val="2"/>
          <c:order val="2"/>
          <c:tx>
            <c:strRef>
              <c:f>Sheet4!$D$2</c:f>
              <c:strCache>
                <c:ptCount val="1"/>
                <c:pt idx="0">
                  <c:v>2021</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Sheet4!$A$3:$A$6</c:f>
              <c:strCache>
                <c:ptCount val="4"/>
                <c:pt idx="0">
                  <c:v>&lt;=16</c:v>
                </c:pt>
                <c:pt idx="1">
                  <c:v>17-18</c:v>
                </c:pt>
                <c:pt idx="2">
                  <c:v>19-20</c:v>
                </c:pt>
                <c:pt idx="3">
                  <c:v>21+</c:v>
                </c:pt>
              </c:strCache>
            </c:strRef>
          </c:cat>
          <c:val>
            <c:numRef>
              <c:f>Sheet4!$D$3:$D$6</c:f>
              <c:numCache>
                <c:formatCode>General</c:formatCode>
                <c:ptCount val="4"/>
                <c:pt idx="0">
                  <c:v>17.510000000000002</c:v>
                </c:pt>
                <c:pt idx="1">
                  <c:v>22.74</c:v>
                </c:pt>
                <c:pt idx="2">
                  <c:v>23.97</c:v>
                </c:pt>
                <c:pt idx="3">
                  <c:v>35.78</c:v>
                </c:pt>
              </c:numCache>
            </c:numRef>
          </c:val>
          <c:extLst xmlns:c16r2="http://schemas.microsoft.com/office/drawing/2015/06/chart">
            <c:ext xmlns:c16="http://schemas.microsoft.com/office/drawing/2014/chart" uri="{C3380CC4-5D6E-409C-BE32-E72D297353CC}">
              <c16:uniqueId val="{00000006-BEEA-4F38-9D6C-EEDC61682B59}"/>
            </c:ext>
          </c:extLst>
        </c:ser>
        <c:dLbls>
          <c:dLblPos val="outEnd"/>
          <c:showLegendKey val="0"/>
          <c:showVal val="1"/>
          <c:showCatName val="0"/>
          <c:showSerName val="0"/>
          <c:showPercent val="0"/>
          <c:showBubbleSize val="0"/>
        </c:dLbls>
        <c:gapWidth val="199"/>
        <c:axId val="236630528"/>
        <c:axId val="234085696"/>
      </c:barChart>
      <c:catAx>
        <c:axId val="236630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n-US"/>
          </a:p>
        </c:txPr>
        <c:crossAx val="234085696"/>
        <c:crosses val="autoZero"/>
        <c:auto val="1"/>
        <c:lblAlgn val="ctr"/>
        <c:lblOffset val="100"/>
        <c:noMultiLvlLbl val="0"/>
      </c:catAx>
      <c:valAx>
        <c:axId val="234085696"/>
        <c:scaling>
          <c:orientation val="minMax"/>
        </c:scaling>
        <c:delete val="1"/>
        <c:axPos val="l"/>
        <c:numFmt formatCode="General" sourceLinked="1"/>
        <c:majorTickMark val="none"/>
        <c:minorTickMark val="none"/>
        <c:tickLblPos val="nextTo"/>
        <c:crossAx val="236630528"/>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Sheet5!$B$1</c:f>
              <c:strCache>
                <c:ptCount val="1"/>
                <c:pt idx="0">
                  <c:v>Laki-laki</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Sheet5!$A$2:$A$16</c:f>
              <c:strCache>
                <c:ptCount val="15"/>
                <c:pt idx="0">
                  <c:v>Gumas</c:v>
                </c:pt>
                <c:pt idx="1">
                  <c:v>Barsel</c:v>
                </c:pt>
                <c:pt idx="2">
                  <c:v>Provinsi</c:v>
                </c:pt>
                <c:pt idx="3">
                  <c:v>Barut</c:v>
                </c:pt>
                <c:pt idx="4">
                  <c:v>P.Raya</c:v>
                </c:pt>
                <c:pt idx="5">
                  <c:v>Pulpis</c:v>
                </c:pt>
                <c:pt idx="6">
                  <c:v>Bartim</c:v>
                </c:pt>
                <c:pt idx="7">
                  <c:v>Kapuas</c:v>
                </c:pt>
                <c:pt idx="8">
                  <c:v>Sukamara</c:v>
                </c:pt>
                <c:pt idx="9">
                  <c:v>Kotim</c:v>
                </c:pt>
                <c:pt idx="10">
                  <c:v>Lamandau</c:v>
                </c:pt>
                <c:pt idx="11">
                  <c:v>Kobar</c:v>
                </c:pt>
                <c:pt idx="12">
                  <c:v>Katingan</c:v>
                </c:pt>
                <c:pt idx="13">
                  <c:v>Mura</c:v>
                </c:pt>
                <c:pt idx="14">
                  <c:v>Seruyan</c:v>
                </c:pt>
              </c:strCache>
            </c:strRef>
          </c:cat>
          <c:val>
            <c:numRef>
              <c:f>Sheet5!$B$2:$B$16</c:f>
              <c:numCache>
                <c:formatCode>General</c:formatCode>
                <c:ptCount val="15"/>
                <c:pt idx="0">
                  <c:v>52</c:v>
                </c:pt>
                <c:pt idx="1">
                  <c:v>60</c:v>
                </c:pt>
                <c:pt idx="2">
                  <c:v>66.67</c:v>
                </c:pt>
                <c:pt idx="3">
                  <c:v>68</c:v>
                </c:pt>
                <c:pt idx="4">
                  <c:v>70</c:v>
                </c:pt>
                <c:pt idx="5">
                  <c:v>72</c:v>
                </c:pt>
                <c:pt idx="6">
                  <c:v>72</c:v>
                </c:pt>
                <c:pt idx="7">
                  <c:v>72.5</c:v>
                </c:pt>
                <c:pt idx="8">
                  <c:v>75</c:v>
                </c:pt>
                <c:pt idx="9">
                  <c:v>79.489999999999995</c:v>
                </c:pt>
                <c:pt idx="10">
                  <c:v>80</c:v>
                </c:pt>
                <c:pt idx="11">
                  <c:v>83.33</c:v>
                </c:pt>
                <c:pt idx="12">
                  <c:v>84</c:v>
                </c:pt>
                <c:pt idx="13">
                  <c:v>84</c:v>
                </c:pt>
                <c:pt idx="14">
                  <c:v>88</c:v>
                </c:pt>
              </c:numCache>
            </c:numRef>
          </c:val>
          <c:extLst xmlns:c16r2="http://schemas.microsoft.com/office/drawing/2015/06/chart">
            <c:ext xmlns:c16="http://schemas.microsoft.com/office/drawing/2014/chart" uri="{C3380CC4-5D6E-409C-BE32-E72D297353CC}">
              <c16:uniqueId val="{00000000-496D-40FE-A156-255D7367E6A7}"/>
            </c:ext>
          </c:extLst>
        </c:ser>
        <c:ser>
          <c:idx val="1"/>
          <c:order val="1"/>
          <c:tx>
            <c:strRef>
              <c:f>Sheet5!$C$1</c:f>
              <c:strCache>
                <c:ptCount val="1"/>
                <c:pt idx="0">
                  <c:v>Perempuan</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Sheet5!$A$2:$A$16</c:f>
              <c:strCache>
                <c:ptCount val="15"/>
                <c:pt idx="0">
                  <c:v>Gumas</c:v>
                </c:pt>
                <c:pt idx="1">
                  <c:v>Barsel</c:v>
                </c:pt>
                <c:pt idx="2">
                  <c:v>Provinsi</c:v>
                </c:pt>
                <c:pt idx="3">
                  <c:v>Barut</c:v>
                </c:pt>
                <c:pt idx="4">
                  <c:v>P.Raya</c:v>
                </c:pt>
                <c:pt idx="5">
                  <c:v>Pulpis</c:v>
                </c:pt>
                <c:pt idx="6">
                  <c:v>Bartim</c:v>
                </c:pt>
                <c:pt idx="7">
                  <c:v>Kapuas</c:v>
                </c:pt>
                <c:pt idx="8">
                  <c:v>Sukamara</c:v>
                </c:pt>
                <c:pt idx="9">
                  <c:v>Kotim</c:v>
                </c:pt>
                <c:pt idx="10">
                  <c:v>Lamandau</c:v>
                </c:pt>
                <c:pt idx="11">
                  <c:v>Kobar</c:v>
                </c:pt>
                <c:pt idx="12">
                  <c:v>Katingan</c:v>
                </c:pt>
                <c:pt idx="13">
                  <c:v>Mura</c:v>
                </c:pt>
                <c:pt idx="14">
                  <c:v>Seruyan</c:v>
                </c:pt>
              </c:strCache>
            </c:strRef>
          </c:cat>
          <c:val>
            <c:numRef>
              <c:f>Sheet5!$C$2:$C$16</c:f>
              <c:numCache>
                <c:formatCode>General</c:formatCode>
                <c:ptCount val="15"/>
                <c:pt idx="0">
                  <c:v>48</c:v>
                </c:pt>
                <c:pt idx="1">
                  <c:v>40</c:v>
                </c:pt>
                <c:pt idx="2">
                  <c:v>33.33</c:v>
                </c:pt>
                <c:pt idx="3">
                  <c:v>32</c:v>
                </c:pt>
                <c:pt idx="4">
                  <c:v>30</c:v>
                </c:pt>
                <c:pt idx="5">
                  <c:v>28.000000000000004</c:v>
                </c:pt>
                <c:pt idx="6">
                  <c:v>28.000000000000004</c:v>
                </c:pt>
                <c:pt idx="7">
                  <c:v>27.500000000000004</c:v>
                </c:pt>
                <c:pt idx="8">
                  <c:v>25</c:v>
                </c:pt>
                <c:pt idx="9">
                  <c:v>20.51</c:v>
                </c:pt>
                <c:pt idx="10">
                  <c:v>20</c:v>
                </c:pt>
                <c:pt idx="11">
                  <c:v>16.670000000000002</c:v>
                </c:pt>
                <c:pt idx="12">
                  <c:v>16</c:v>
                </c:pt>
                <c:pt idx="13">
                  <c:v>16</c:v>
                </c:pt>
                <c:pt idx="14">
                  <c:v>12</c:v>
                </c:pt>
              </c:numCache>
            </c:numRef>
          </c:val>
          <c:extLst xmlns:c16r2="http://schemas.microsoft.com/office/drawing/2015/06/chart">
            <c:ext xmlns:c16="http://schemas.microsoft.com/office/drawing/2014/chart" uri="{C3380CC4-5D6E-409C-BE32-E72D297353CC}">
              <c16:uniqueId val="{00000001-496D-40FE-A156-255D7367E6A7}"/>
            </c:ext>
          </c:extLst>
        </c:ser>
        <c:dLbls>
          <c:dLblPos val="ctr"/>
          <c:showLegendKey val="0"/>
          <c:showVal val="1"/>
          <c:showCatName val="0"/>
          <c:showSerName val="0"/>
          <c:showPercent val="0"/>
          <c:showBubbleSize val="0"/>
        </c:dLbls>
        <c:gapWidth val="50"/>
        <c:overlap val="100"/>
        <c:axId val="236633088"/>
        <c:axId val="347661440"/>
      </c:barChart>
      <c:catAx>
        <c:axId val="23663308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540000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347661440"/>
        <c:crosses val="autoZero"/>
        <c:auto val="1"/>
        <c:lblAlgn val="ctr"/>
        <c:lblOffset val="100"/>
        <c:noMultiLvlLbl val="0"/>
      </c:catAx>
      <c:valAx>
        <c:axId val="347661440"/>
        <c:scaling>
          <c:orientation val="minMax"/>
        </c:scaling>
        <c:delete val="1"/>
        <c:axPos val="l"/>
        <c:numFmt formatCode="0%" sourceLinked="1"/>
        <c:majorTickMark val="none"/>
        <c:minorTickMark val="none"/>
        <c:tickLblPos val="nextTo"/>
        <c:crossAx val="236633088"/>
        <c:crosses val="autoZero"/>
        <c:crossBetween val="between"/>
      </c:valAx>
      <c:spPr>
        <a:noFill/>
        <a:ln>
          <a:noFill/>
        </a:ln>
        <a:effectLst/>
      </c:spPr>
    </c:plotArea>
    <c:legend>
      <c:legendPos val="b"/>
      <c:layout>
        <c:manualLayout>
          <c:xMode val="edge"/>
          <c:yMode val="edge"/>
          <c:x val="0.32167939169266657"/>
          <c:y val="0.83607735217910217"/>
          <c:w val="0.36323943918095686"/>
          <c:h val="0.10292844227042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2FA8C-17BC-43FA-BF62-89F1000F0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212</Pages>
  <Words>27590</Words>
  <Characters>157268</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184490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9</cp:revision>
  <cp:lastPrinted>2023-01-17T07:13:00Z</cp:lastPrinted>
  <dcterms:created xsi:type="dcterms:W3CDTF">2022-11-28T01:09:00Z</dcterms:created>
  <dcterms:modified xsi:type="dcterms:W3CDTF">2023-01-24T03:17:00Z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43448d9e9d5467d7dc21408d4e80de6005484f97774ad4f9b703749c5ca99e28</vt:lpwstr>
  </property>
</Properties>
</file>